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EF9" w:rsidRPr="00D019C2" w:rsidRDefault="00204FD0" w:rsidP="002B6848">
      <w:pPr>
        <w:spacing w:beforeLines="100" w:before="240" w:afterLines="100" w:after="240"/>
        <w:ind w:left="288" w:right="431"/>
        <w:jc w:val="center"/>
        <w:rPr>
          <w:b/>
          <w:bCs/>
          <w:sz w:val="40"/>
          <w:szCs w:val="40"/>
        </w:rPr>
      </w:pPr>
      <w:r w:rsidRPr="00D019C2">
        <w:rPr>
          <w:sz w:val="40"/>
          <w:szCs w:val="40"/>
        </w:rPr>
        <w:t xml:space="preserve"> </w:t>
      </w:r>
      <w:r w:rsidRPr="00D019C2">
        <w:rPr>
          <w:b/>
          <w:bCs/>
          <w:sz w:val="40"/>
          <w:szCs w:val="40"/>
        </w:rPr>
        <w:t>Pegadaian Digital Service Quality a</w:t>
      </w:r>
      <w:r w:rsidR="003B2CF6" w:rsidRPr="00D019C2">
        <w:rPr>
          <w:b/>
          <w:bCs/>
          <w:sz w:val="40"/>
          <w:szCs w:val="40"/>
        </w:rPr>
        <w:t xml:space="preserve">nd </w:t>
      </w:r>
      <w:proofErr w:type="gramStart"/>
      <w:r w:rsidR="003B2CF6" w:rsidRPr="00D019C2">
        <w:rPr>
          <w:b/>
          <w:bCs/>
          <w:sz w:val="40"/>
          <w:szCs w:val="40"/>
        </w:rPr>
        <w:t>It’s</w:t>
      </w:r>
      <w:proofErr w:type="gramEnd"/>
      <w:r w:rsidR="003B2CF6" w:rsidRPr="00D019C2">
        <w:rPr>
          <w:b/>
          <w:bCs/>
          <w:sz w:val="40"/>
          <w:szCs w:val="40"/>
        </w:rPr>
        <w:t xml:space="preserve"> Implication on Customer Satisfaction at PT</w:t>
      </w:r>
      <w:r w:rsidRPr="00D019C2">
        <w:rPr>
          <w:b/>
          <w:bCs/>
          <w:sz w:val="40"/>
          <w:szCs w:val="40"/>
        </w:rPr>
        <w:t xml:space="preserve"> Pegadaian (Persero) Pondok Labu Branch</w:t>
      </w:r>
    </w:p>
    <w:p w:rsidR="00095EF9" w:rsidRPr="00D019C2" w:rsidRDefault="00095EF9" w:rsidP="002B6848">
      <w:pPr>
        <w:spacing w:beforeLines="50" w:before="120" w:afterLines="50" w:after="120"/>
        <w:ind w:left="431" w:right="431"/>
        <w:jc w:val="center"/>
        <w:rPr>
          <w:b/>
          <w:bCs/>
          <w:sz w:val="24"/>
        </w:rPr>
      </w:pPr>
      <w:r w:rsidRPr="00D019C2">
        <w:rPr>
          <w:b/>
          <w:bCs/>
          <w:sz w:val="24"/>
        </w:rPr>
        <w:t>Aziz Setyawan</w:t>
      </w:r>
    </w:p>
    <w:p w:rsidR="00095EF9" w:rsidRPr="00772943" w:rsidRDefault="00095EF9" w:rsidP="002B6848">
      <w:pPr>
        <w:spacing w:beforeLines="50" w:before="120" w:afterLines="50" w:after="120"/>
        <w:ind w:left="431" w:right="432"/>
        <w:jc w:val="center"/>
        <w:rPr>
          <w:i/>
          <w:sz w:val="20"/>
          <w:szCs w:val="20"/>
        </w:rPr>
      </w:pPr>
      <w:r w:rsidRPr="00772943">
        <w:rPr>
          <w:i/>
          <w:sz w:val="20"/>
          <w:szCs w:val="20"/>
        </w:rPr>
        <w:t>Universitas Pembangunan Nasional Veteran Jakarta</w:t>
      </w:r>
      <w:r w:rsidR="002B6848" w:rsidRPr="00772943">
        <w:rPr>
          <w:i/>
          <w:sz w:val="20"/>
          <w:szCs w:val="20"/>
        </w:rPr>
        <w:t>, Indonesia</w:t>
      </w:r>
    </w:p>
    <w:p w:rsidR="00095EF9" w:rsidRPr="00772943" w:rsidRDefault="00095EF9" w:rsidP="002B6848">
      <w:pPr>
        <w:spacing w:beforeLines="50" w:before="120" w:afterLines="50" w:after="120"/>
        <w:ind w:left="431" w:right="432"/>
        <w:jc w:val="center"/>
        <w:rPr>
          <w:rStyle w:val="Hyperlink"/>
          <w:i/>
          <w:color w:val="auto"/>
          <w:sz w:val="20"/>
          <w:szCs w:val="20"/>
          <w:u w:val="none"/>
        </w:rPr>
      </w:pPr>
      <w:r w:rsidRPr="00772943">
        <w:rPr>
          <w:i/>
          <w:sz w:val="20"/>
          <w:szCs w:val="20"/>
        </w:rPr>
        <w:t xml:space="preserve">Email: </w:t>
      </w:r>
      <w:hyperlink r:id="rId7" w:history="1">
        <w:r w:rsidRPr="00772943">
          <w:rPr>
            <w:rStyle w:val="Hyperlink"/>
            <w:i/>
            <w:color w:val="auto"/>
            <w:sz w:val="20"/>
            <w:szCs w:val="20"/>
            <w:u w:val="none"/>
          </w:rPr>
          <w:t>azizsetyawan@upnvj.ac.id</w:t>
        </w:r>
      </w:hyperlink>
    </w:p>
    <w:p w:rsidR="00772943" w:rsidRDefault="00772943" w:rsidP="00772943">
      <w:pPr>
        <w:spacing w:beforeLines="50" w:before="120" w:afterLines="50" w:after="120"/>
        <w:rPr>
          <w:b/>
          <w:bCs/>
          <w:sz w:val="24"/>
        </w:rPr>
      </w:pPr>
    </w:p>
    <w:p w:rsidR="00095EF9" w:rsidRPr="00D019C2" w:rsidRDefault="00095EF9" w:rsidP="00772943">
      <w:pPr>
        <w:spacing w:beforeLines="50" w:before="120" w:afterLines="50" w:after="120"/>
        <w:rPr>
          <w:b/>
          <w:bCs/>
          <w:sz w:val="24"/>
        </w:rPr>
      </w:pPr>
      <w:r w:rsidRPr="00D019C2">
        <w:rPr>
          <w:b/>
          <w:bCs/>
          <w:sz w:val="24"/>
        </w:rPr>
        <w:t>Abstract</w:t>
      </w:r>
    </w:p>
    <w:p w:rsidR="00095EF9" w:rsidRPr="00772943" w:rsidRDefault="00095EF9" w:rsidP="00D019C2">
      <w:pPr>
        <w:spacing w:beforeLines="50" w:before="120" w:afterLines="50" w:after="120"/>
        <w:ind w:right="49"/>
        <w:rPr>
          <w:rFonts w:eastAsia="Calibri"/>
          <w:sz w:val="20"/>
        </w:rPr>
      </w:pPr>
      <w:r w:rsidRPr="00772943">
        <w:rPr>
          <w:rFonts w:eastAsia="Calibri"/>
          <w:sz w:val="20"/>
        </w:rPr>
        <w:t xml:space="preserve">This study aims to empirically explore the service quality of Pegadaian Digital and their impact on customer satisfaction at PT Pegadaian (Persero) Pondok Labu Branch. This is a quantitative research, and the sample in this study amounted to 160 customers who are users of Pegadaian Digital services. The data collection process uses google forms and scanned barcodes that are distributed in each unit of the Pegadaian Pondok Labu Branch. The data were analyzed using the Partial Least Square (PLS) method, and the results show that: (1) Reliability has an effect on customer satisfaction (2) Efficiency has no effect on customer satisfaction (3) Security has no effect on customer satisfaction (4 ) Responsiveness has no effect on customer satisfaction (5) Web design has </w:t>
      </w:r>
      <w:proofErr w:type="gramStart"/>
      <w:r w:rsidRPr="00772943">
        <w:rPr>
          <w:rFonts w:eastAsia="Calibri"/>
          <w:sz w:val="20"/>
        </w:rPr>
        <w:t>no</w:t>
      </w:r>
      <w:proofErr w:type="gramEnd"/>
      <w:r w:rsidRPr="00772943">
        <w:rPr>
          <w:rFonts w:eastAsia="Calibri"/>
          <w:sz w:val="20"/>
        </w:rPr>
        <w:t xml:space="preserve"> effect on customer satisfaction.</w:t>
      </w:r>
    </w:p>
    <w:p w:rsidR="00095EF9" w:rsidRPr="00772943" w:rsidRDefault="00095EF9" w:rsidP="00D019C2">
      <w:pPr>
        <w:spacing w:beforeLines="50" w:before="120" w:afterLines="50" w:after="120"/>
        <w:ind w:right="432"/>
        <w:rPr>
          <w:rFonts w:eastAsia="Calibri"/>
          <w:sz w:val="20"/>
        </w:rPr>
      </w:pPr>
      <w:r w:rsidRPr="00772943">
        <w:rPr>
          <w:rFonts w:eastAsia="Calibri"/>
          <w:b/>
          <w:bCs/>
          <w:sz w:val="20"/>
        </w:rPr>
        <w:t>Keywords</w:t>
      </w:r>
      <w:r w:rsidRPr="00772943">
        <w:rPr>
          <w:rFonts w:eastAsia="Calibri"/>
          <w:sz w:val="20"/>
        </w:rPr>
        <w:t>: Service quality, customer satisfaction, digital banking</w:t>
      </w:r>
    </w:p>
    <w:p w:rsidR="00095EF9" w:rsidRPr="00D019C2" w:rsidRDefault="00095EF9" w:rsidP="00D019C2">
      <w:pPr>
        <w:spacing w:beforeLines="50" w:before="120" w:afterLines="50" w:after="120"/>
        <w:rPr>
          <w:sz w:val="24"/>
        </w:rPr>
        <w:sectPr w:rsidR="00095EF9" w:rsidRPr="00D019C2" w:rsidSect="00893674">
          <w:headerReference w:type="even" r:id="rId8"/>
          <w:headerReference w:type="default" r:id="rId9"/>
          <w:footerReference w:type="even" r:id="rId10"/>
          <w:footerReference w:type="default" r:id="rId11"/>
          <w:headerReference w:type="first" r:id="rId12"/>
          <w:footerReference w:type="first" r:id="rId13"/>
          <w:pgSz w:w="12240" w:h="15840"/>
          <w:pgMar w:top="1701" w:right="1701" w:bottom="1701" w:left="1701" w:header="720" w:footer="720" w:gutter="0"/>
          <w:pgNumType w:start="211"/>
          <w:cols w:space="720"/>
          <w:docGrid w:linePitch="360"/>
        </w:sectPr>
      </w:pPr>
    </w:p>
    <w:p w:rsidR="00095EF9" w:rsidRPr="00D019C2" w:rsidRDefault="00095EF9" w:rsidP="00D019C2">
      <w:pPr>
        <w:pStyle w:val="ListParagraph"/>
        <w:numPr>
          <w:ilvl w:val="0"/>
          <w:numId w:val="23"/>
        </w:numPr>
        <w:spacing w:beforeLines="50" w:before="120" w:afterLines="50" w:after="120"/>
        <w:ind w:left="284" w:hanging="284"/>
        <w:rPr>
          <w:b/>
          <w:bCs/>
          <w:sz w:val="24"/>
        </w:rPr>
      </w:pPr>
      <w:r w:rsidRPr="00D019C2">
        <w:rPr>
          <w:b/>
          <w:bCs/>
          <w:sz w:val="24"/>
        </w:rPr>
        <w:lastRenderedPageBreak/>
        <w:t>Introduction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Consumers are a top priority in modern business thinking and practices, businesses must be able to attract and retain consumers to win the competition (Tjiptono, 2019). Currently, the demand and desire of consumers is increasing, including in the financial services industry, consumers always demand that transactions can be done anytime and anywhere without time constraints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In 2017 McKinsey conducted research on 900 banking consumers across Indonesia on their banking habits, the results showed a shift to digital channels increased by 58 percent from 2017 </w:t>
      </w:r>
      <w:r w:rsidRPr="00D019C2">
        <w:rPr>
          <w:rFonts w:eastAsia="Times New Roman"/>
          <w:sz w:val="24"/>
        </w:rPr>
        <w:fldChar w:fldCharType="begin" w:fldLock="1"/>
      </w:r>
      <w:r w:rsidRPr="00D019C2">
        <w:rPr>
          <w:rFonts w:eastAsia="Times New Roman"/>
          <w:sz w:val="24"/>
        </w:rPr>
        <w:instrText>ADDIN CSL_CITATION {"citationItems":[{"id":"ITEM-1","itemData":{"abstract":"Indonesian consumers are embracing digital banking. To attract them, banks need to take an active approach.","author":[{"dropping-particle":"","family":"Barquin","given":"Sonia","non-dropping-particle":"","parse-names":false,"suffix":""},{"dropping-particle":"","family":"HV","given":"Vinayak","non-dropping-particle":"","parse-names":false,"suffix":""},{"dropping-particle":"","family":"Shrikhande","given":"Duhita","non-dropping-particle":"","parse-names":false,"suffix":""}],"container-title":"McKinsey &amp; Company","id":"ITEM-1","issue":"February","issued":{"date-parts":[["2019"]]},"page":"6","title":"Digital banking in Indonesia: Building loyalty and generating growth","type":"article-journal"},"uris":["http://www.mendeley.com/documents/?uuid=75fffa33-1226-47b1-bcbd-f300400e2dd1"]}],"mendeley":{"formattedCitation":"(Barquin et al., 2019)","plainTextFormattedCitation":"(Barquin et al., 2019)","previouslyFormattedCitation":"(Barquin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(Barquin et al., 2019)</w:t>
      </w:r>
      <w:r w:rsidRPr="00D019C2">
        <w:rPr>
          <w:rFonts w:eastAsia="Times New Roman"/>
          <w:sz w:val="24"/>
        </w:rPr>
        <w:fldChar w:fldCharType="end"/>
      </w:r>
      <w:r w:rsidRPr="00D019C2">
        <w:rPr>
          <w:rFonts w:eastAsia="Times New Roman"/>
          <w:sz w:val="24"/>
        </w:rPr>
        <w:t xml:space="preserve">. In addition, awareness of digital banking services in Indonesia is increasing along with the Covid-19 pandemic, many customers are changing their behavior towards banking services </w:t>
      </w:r>
      <w:r w:rsidRPr="00D019C2">
        <w:rPr>
          <w:rFonts w:eastAsia="Times New Roman"/>
          <w:sz w:val="24"/>
        </w:rPr>
        <w:fldChar w:fldCharType="begin" w:fldLock="1"/>
      </w:r>
      <w:r w:rsidRPr="00D019C2">
        <w:rPr>
          <w:rFonts w:eastAsia="Times New Roman"/>
          <w:sz w:val="24"/>
        </w:rPr>
        <w:instrText>ADDIN CSL_CITATION {"citationItems":[{"id":"ITEM-1","itemData":{"author":[{"dropping-particle":"","family":"Hamilton","given":"Michel","non-dropping-particle":"","parse-names":false,"suffix":""}],"id":"ITEM-1","issued":{"date-parts":[["2021"]]},"title":"Digital Banking Trend in The New Normal Era","type":"article-journal"},"uris":["http://www.mendeley.com/documents/?uuid=ba52c45b-bf69-4256-9818-4326db7f38be"]}],"mendeley":{"formattedCitation":"(Hamilton, 2021)","plainTextFormattedCitation":"(Hamilton, 2021)","previouslyFormattedCitation":"(Hamilton, 2021)"},"properties":{"noteIndex":0},"schema":"https://github.com/citation-style-language/schema/raw/master/csl-citation.json"}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(Hamilton, 2021)</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In today's era, services delivered through digital channels account for the majority of business transactions compared to those conducted through traditional channels such as branch offices </w:t>
      </w:r>
      <w:r w:rsidRPr="00D019C2">
        <w:rPr>
          <w:rFonts w:eastAsia="Times New Roman"/>
          <w:sz w:val="24"/>
        </w:rPr>
        <w:fldChar w:fldCharType="begin" w:fldLock="1"/>
      </w:r>
      <w:r w:rsidRPr="00D019C2">
        <w:rPr>
          <w:rFonts w:eastAsia="Times New Roman"/>
          <w:sz w:val="24"/>
        </w:rPr>
        <w:instrText>ADDIN CSL_CITATION {"citationItems":[{"id":"ITEM-1","itemData":{"DOI":"10.1108/INTR-06-2018-0280","ISSN":"10662243","abstract":"Purpose: The purpose of this paper is to develop a nuanced understanding of premium customers’ intent to adopt an interactive electronic channel (IEC) and the moderating role of social capital on perceived relative advantage (RA) in adoption. Design/methodology/approach: Study findings are based on a field survey that investigates the launching of an IEC by a leading international bank in Hong Kong. Findings: Among social capital dimensions, cognitive capital significantly weakens the relationship between efficacy of information acquisition and IEC adoption, while relational capital enhances the relationship between trust and adoption. Research limitations/implications: This paper provides a theoretical lens based on social capital theory for evaluating the moderating effects of social capital on the relationship between RA and IEC adoption by premium customers in the banking industry. Practical implications: Findings provide insights for the practice of banks when trying to deliver financial services via an IEC to the premium customer segment. Originality/value: This research extends the channel choice theory to the context of banking channel adoption of premium customers; provides a better understanding of the IEC and its adoption in the more complex setting of financial consultation services; and offers insights for a better understanding of fragmented findings on the relationships between adoption intention and its antecedents in response to calls for studies on contingent factors.","author":[{"dropping-particle":"","family":"Chan","given":"Chun Kwong","non-dropping-particle":"","parse-names":false,"suffix":""},{"dropping-particle":"","family":"Fang","given":"Yulin","non-dropping-particle":"","parse-names":false,"suffix":""},{"dropping-particle":"","family":"Li","given":"Huifang","non-dropping-particle":"","parse-names":false,"suffix":""}],"container-title":"Internet Research","id":"ITEM-1","issue":"2","issued":{"date-parts":[["2019"]]},"page":"357-379","title":"Relative advantage of interactive electronic banking adoption by premium customers: The moderating role of social capital","type":"article-journal","volume":"30"},"uris":["http://www.mendeley.com/documents/?uuid=758675d7-8cc6-469e-ada6-64982069fba0"]}],"mendeley":{"formattedCitation":"(Chan et al., 2019)","plainTextFormattedCitation":"(Chan et al., 2019)","previouslyFormattedCitation":"(Chan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(Chan et al., 2019)</w:t>
      </w:r>
      <w:r w:rsidRPr="00D019C2">
        <w:rPr>
          <w:rFonts w:eastAsia="Times New Roman"/>
          <w:sz w:val="24"/>
        </w:rPr>
        <w:fldChar w:fldCharType="end"/>
      </w:r>
      <w:r w:rsidRPr="00D019C2">
        <w:rPr>
          <w:rFonts w:eastAsia="Times New Roman"/>
          <w:sz w:val="24"/>
        </w:rPr>
        <w:t>. Starting from the theme "DigitalisMe", Pegadaian launched a digital-based service called Pegadaian Digital (Pegadaian Annual Report, 2021).</w:t>
      </w:r>
    </w:p>
    <w:p w:rsidR="00620A6E" w:rsidRDefault="00095EF9" w:rsidP="00D019C2">
      <w:pPr>
        <w:spacing w:beforeLines="50" w:before="120" w:afterLines="50" w:after="120"/>
        <w:ind w:right="119"/>
        <w:rPr>
          <w:rFonts w:eastAsia="Times New Roman"/>
          <w:sz w:val="24"/>
        </w:rPr>
      </w:pPr>
      <w:r w:rsidRPr="00D019C2">
        <w:rPr>
          <w:rFonts w:eastAsia="Times New Roman"/>
          <w:sz w:val="24"/>
        </w:rPr>
        <w:t xml:space="preserve">Pegadaian Digital is one of the application-based Pegadaian services that help customers to make Pegadaian transactions through smartphones (Sahabat Pegadaian, 2021). According to </w:t>
      </w:r>
      <w:r w:rsidRPr="00D019C2">
        <w:rPr>
          <w:rFonts w:eastAsia="Times New Roman"/>
          <w:sz w:val="24"/>
        </w:rPr>
        <w:fldChar w:fldCharType="begin" w:fldLock="1"/>
      </w:r>
      <w:r w:rsidRPr="00D019C2">
        <w:rPr>
          <w:rFonts w:eastAsia="Times New Roman"/>
          <w:sz w:val="24"/>
        </w:rPr>
        <w:instrText>ADDIN CSL_CITATION {"citationItems":[{"id":"ITEM-1","itemData":{"ISBN":"0520130049","abstract":"Internet banking service quality and its implication on e-customer satisfaction and e-customer loyalty 1 Introduction Internet banking has customers who interact through network technology, whereas traditional banking interacts with customers on non-website based settings. However, internet banking services have unique characteristics that traditional banking services do not possess. For example, internet banking provides the customers to carry out a range of banking activities electronically at any time and place with low handling cost (Angelakopoulos","author":[{"dropping-particle":"","family":"Amin","given":"Muslim","non-dropping-particle":"","parse-names":false,"suffix":""}],"container-title":"International Journal of Bank Marketing","id":"ITEM-1","issue":"1","issued":{"date-parts":[["2016"]]},"page":"1-5","title":"Internet banking service quality and its implication on e-customer satisfaction and e-customer loyalty","type":"article-journal","volume":"34"},"uris":["http://www.mendeley.com/documents/?uuid=792d12d2-9f6c-4b85-b377-ca755c59c768"]}],"mendeley":{"formattedCitation":"(Amin, 2016)","plainTextFormattedCitation":"(Amin, 2016)","previouslyFormattedCitation":"(Amin, 2016)"},"properties":{"noteIndex":0},"schema":"https://github.com/citation-style-language/schema/raw/master/csl-citation.json"}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(Amin, 2016)</w:t>
      </w:r>
      <w:r w:rsidRPr="00D019C2">
        <w:rPr>
          <w:rFonts w:eastAsia="Times New Roman"/>
          <w:sz w:val="24"/>
        </w:rPr>
        <w:fldChar w:fldCharType="end"/>
      </w:r>
      <w:r w:rsidRPr="00D019C2">
        <w:rPr>
          <w:rFonts w:eastAsia="Times New Roman"/>
          <w:sz w:val="24"/>
        </w:rPr>
        <w:t xml:space="preserve">, one of the common concerns that has been emphasized regarding the adoption of digital banking services is the poor quality of service and customer </w:t>
      </w:r>
    </w:p>
    <w:p w:rsidR="00620A6E" w:rsidRDefault="00620A6E" w:rsidP="00D019C2">
      <w:pPr>
        <w:spacing w:beforeLines="50" w:before="120" w:afterLines="50" w:after="120"/>
        <w:ind w:right="119"/>
        <w:rPr>
          <w:rFonts w:eastAsia="Times New Roman"/>
          <w:sz w:val="24"/>
        </w:rPr>
        <w:sectPr w:rsidR="00620A6E" w:rsidSect="00620A6E">
          <w:type w:val="continuous"/>
          <w:pgSz w:w="12240" w:h="15840"/>
          <w:pgMar w:top="1701" w:right="1701" w:bottom="1701" w:left="1701" w:header="720" w:footer="720" w:gutter="0"/>
          <w:pgNumType w:start="208"/>
          <w:cols w:space="332"/>
          <w:docGrid w:linePitch="360"/>
        </w:sectPr>
      </w:pPr>
    </w:p>
    <w:p w:rsidR="00095EF9" w:rsidRPr="00D019C2" w:rsidRDefault="00095EF9" w:rsidP="00D019C2">
      <w:pPr>
        <w:spacing w:beforeLines="50" w:before="120" w:afterLines="50" w:after="120"/>
        <w:ind w:right="119"/>
        <w:rPr>
          <w:rFonts w:eastAsia="Times New Roman"/>
          <w:sz w:val="24"/>
        </w:rPr>
      </w:pPr>
      <w:proofErr w:type="gramStart"/>
      <w:r w:rsidRPr="00D019C2">
        <w:rPr>
          <w:rFonts w:eastAsia="Times New Roman"/>
          <w:sz w:val="24"/>
        </w:rPr>
        <w:lastRenderedPageBreak/>
        <w:t>dissatisfaction</w:t>
      </w:r>
      <w:proofErr w:type="gramEnd"/>
      <w:r w:rsidRPr="00D019C2">
        <w:rPr>
          <w:rFonts w:eastAsia="Times New Roman"/>
          <w:sz w:val="24"/>
        </w:rPr>
        <w:t xml:space="preserve">. Customer satisfaction is closely related to the quality of service, because one of the criteria for the development of a company is influenced by the company's ability to serve its customers </w:t>
      </w:r>
      <w:r w:rsidRPr="00D019C2">
        <w:rPr>
          <w:rFonts w:eastAsia="Times New Roman"/>
          <w:sz w:val="24"/>
        </w:rPr>
        <w:fldChar w:fldCharType="begin" w:fldLock="1"/>
      </w:r>
      <w:r w:rsidRPr="00D019C2">
        <w:rPr>
          <w:rFonts w:eastAsia="Times New Roman"/>
          <w:sz w:val="24"/>
        </w:rPr>
        <w:instrText>ADDIN CSL_CITATION {"citationItems":[{"id":"ITEM-1","itemData":{"abstract":"Influence of Service Quality on Customer Satisfaction. The quality is closely related to customer satisfaction. Customer satisfaction can be achieved when customers receive the service in accordance with the required and expected. So the expected service quality that has been given influence for increasing customer satisfaction. To know Influence of Service Quality on Customer Satisfaction writer uses observation, survey as questionaire approach and interview, and study documentation method. Based on result of Correlation test between Service Quality with Customer Satisfaction give the coefficient value is 0,691 can be concluded that the relationship between the Service Quality with Customer Satisfaction is the strong relationship. Based on the result of the coefficient determination test, the percentage contribution influence variables Service Quality on Customer Satisfaction is 47,7%, while the remaining 52,3% as the epsilon is influenced by other factors. Based on the result of regression equation test t count &gt; t table (7,876 &gt; 0,2352) and significance &lt; 0,05 (0,000 &lt;0,05), it can be concluded that the service quality influence on customer satisfaction.","author":[{"dropping-particle":"","family":"Rohaeni &amp; Marwa","given":"Nisa","non-dropping-particle":"","parse-names":false,"suffix":""}],"container-title":"Jurnal Ecodemica","id":"ITEM-1","issue":"2","issued":{"date-parts":[["2018"]]},"page":"312-318","title":"Kualitas Pelayanan terhadap Kepuasan Pelanggan","type":"article-journal","volume":"2"},"uris":["http://www.mendeley.com/documents/?uuid=2fa0056e-738b-4aff-be6a-d8e842842187"]}],"mendeley":{"formattedCitation":"(Rohaeni &amp; Marwa, 2018)","plainTextFormattedCitation":"(Rohaeni &amp; Marwa, 2018)","previouslyFormattedCitation":"(Rohaeni &amp; Marwa,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(Rohaeni &amp; Marwa, 2018)</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iCs/>
          <w:sz w:val="24"/>
        </w:rPr>
      </w:pPr>
      <w:r w:rsidRPr="00D019C2">
        <w:rPr>
          <w:rFonts w:eastAsia="Times New Roman"/>
          <w:iCs/>
          <w:sz w:val="24"/>
        </w:rPr>
        <w:t>Based on the results of a survey of customers who use Pegadaian Digital services at Pegadaian Pondok Labu Branch Office and Unit below it shows only 53 percent of customers are satisfied with The Pegadaian Digital service, meaning that there are still 47 percent of customers who are not satisfied. This is certainly a problem for the company.</w:t>
      </w:r>
    </w:p>
    <w:p w:rsidR="00095EF9" w:rsidRPr="00D019C2" w:rsidRDefault="00095EF9" w:rsidP="00D019C2">
      <w:pPr>
        <w:spacing w:beforeLines="50" w:before="120" w:afterLines="50" w:after="120"/>
        <w:ind w:right="119"/>
        <w:rPr>
          <w:rFonts w:eastAsia="Times New Roman"/>
          <w:iCs/>
          <w:sz w:val="24"/>
        </w:rPr>
      </w:pPr>
      <w:r w:rsidRPr="00D019C2">
        <w:rPr>
          <w:rFonts w:eastAsia="Times New Roman"/>
          <w:iCs/>
          <w:sz w:val="24"/>
        </w:rPr>
        <w:t xml:space="preserve">Even though the application is expected to make it easier for customers to use online services. In addition, the company strives for customers to struggle to change their perspective, behavior and habits in interacting with offerings in the form of services from digital banking </w:t>
      </w:r>
      <w:r w:rsidRPr="00D019C2">
        <w:rPr>
          <w:rFonts w:eastAsia="Times New Roman"/>
          <w:iCs/>
          <w:sz w:val="24"/>
        </w:rPr>
        <w:fldChar w:fldCharType="begin" w:fldLock="1"/>
      </w:r>
      <w:r w:rsidRPr="00D019C2">
        <w:rPr>
          <w:rFonts w:eastAsia="Times New Roman"/>
          <w:iCs/>
          <w:sz w:val="24"/>
        </w:rPr>
        <w:instrText>ADDIN CSL_CITATION {"citationItems":[{"id":"ITEM-1","itemData":{"DOI":"10.1016/j.jbusres.2008.12.014","ISSN":"01482963","abstract":"This article proposes a revised technology acceptance model to measure consumers' acceptance of Internet banking, the Internet banking acceptance model (IBAM). Data was collected from 618 university students in the United Kingdom and Saudi Arabia. The results suggest the importance of attitude, such that attitude and behavioral intentions emerge as a single factor, denoted as \"attitudinal intentions\" (AI). Structural equation modeling confirms the fit of the model, in which perceived usefulness and trust fully mediate the impact of subjective norms and perceived manageability on AI. The invariance analysis demonstrates the psychometric equivalence of the IBAM measurements between the two country groups. At the structural level, the influence of trust and system usefulness on AI varies between the two countries, emphasizing the potential role of cultures in IS adoption. The IBAM is robust and parsimonious, explaining over 80% of AI. © 2009 Elsevier Inc.","author":[{"dropping-particle":"","family":"Alsajjan","given":"Bander","non-dropping-particle":"","parse-names":false,"suffix":""},{"dropping-particle":"","family":"Dennis","given":"Charles","non-dropping-particle":"","parse-names":false,"suffix":""}],"container-title":"Journal of Business Research","id":"ITEM-1","issue":"9-10","issued":{"date-parts":[["2010"]]},"page":"957-963","publisher":"Elsevier Inc.","title":"Internet banking acceptance model: Cross-market examination","type":"article-journal","volume":"63"},"uris":["http://www.mendeley.com/documents/?uuid=1a92f951-2ff5-4e06-846d-fefd4961be7a"]},{"id":"ITEM-2","itemData":{"ISBN":"0520130049","abstract":"Internet banking service quality and its implication on e-customer satisfaction and e-customer loyalty 1 Introduction Internet banking has customers who interact through network technology, whereas traditional banking interacts with customers on non-website based settings. However, internet banking services have unique characteristics that traditional banking services do not possess. For example, internet banking provides the customers to carry out a range of banking activities electronically at any time and place with low handling cost (Angelakopoulos","author":[{"dropping-particle":"","family":"Amin","given":"Muslim","non-dropping-particle":"","parse-names":false,"suffix":""}],"container-title":"International Journal of Bank Marketing","id":"ITEM-2","issue":"1","issued":{"date-parts":[["2016"]]},"page":"1-5","title":"Internet banking service quality and its implication on e-customer satisfaction and e-customer loyalty","type":"article-journal","volume":"34"},"uris":["http://www.mendeley.com/documents/?uuid=792d12d2-9f6c-4b85-b377-ca755c59c768"]}],"mendeley":{"formattedCitation":"(Alsajjan &amp; Dennis, 2010; Amin, 2016)","plainTextFormattedCitation":"(Alsajjan &amp; Dennis, 2010; Amin, 2016)","previouslyFormattedCitation":"(Alsajjan &amp; Dennis, 2010; Amin, 2016)"},"properties":{"noteIndex":0},"schema":"https://github.com/citation-style-language/schema/raw/master/csl-citation.json"}</w:instrText>
      </w:r>
      <w:r w:rsidRPr="00D019C2">
        <w:rPr>
          <w:rFonts w:eastAsia="Times New Roman"/>
          <w:iCs/>
          <w:sz w:val="24"/>
        </w:rPr>
        <w:fldChar w:fldCharType="separate"/>
      </w:r>
      <w:r w:rsidRPr="00D019C2">
        <w:rPr>
          <w:rFonts w:eastAsia="Times New Roman"/>
          <w:iCs/>
          <w:noProof/>
          <w:sz w:val="24"/>
        </w:rPr>
        <w:t>(Alsajjan &amp; Dennis, 2010; Amin, 2016)</w:t>
      </w:r>
      <w:r w:rsidRPr="00D019C2">
        <w:rPr>
          <w:rFonts w:eastAsia="Times New Roman"/>
          <w:iCs/>
          <w:sz w:val="24"/>
        </w:rPr>
        <w:fldChar w:fldCharType="end"/>
      </w:r>
      <w:r w:rsidRPr="00D019C2">
        <w:rPr>
          <w:rFonts w:eastAsia="Times New Roman"/>
          <w:iCs/>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iCs/>
          <w:sz w:val="24"/>
        </w:rPr>
        <w:t xml:space="preserve">The results of the study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 xml:space="preserve">, </w:t>
      </w:r>
      <w:r w:rsidRPr="00D019C2">
        <w:rPr>
          <w:rFonts w:eastAsia="Times New Roman"/>
          <w:iCs/>
          <w:sz w:val="24"/>
        </w:rPr>
        <w:t xml:space="preserve"> showed that service quality variables consisting of several dimensions such as reliability, efficiency, security and responsiveness have a positive and significant influence on customer satisfaction. Other research also says the quality dimensions of services such as web design have a significant role to play in improving customer satisfaction in the application of digital banking </w:t>
      </w:r>
      <w:r w:rsidRPr="00D019C2">
        <w:rPr>
          <w:rFonts w:eastAsia="Times New Roman"/>
          <w:sz w:val="24"/>
        </w:rPr>
        <w:fldChar w:fldCharType="begin" w:fldLock="1"/>
      </w:r>
      <w:r w:rsidRPr="00D019C2">
        <w:rPr>
          <w:rFonts w:eastAsia="Times New Roman"/>
          <w:sz w:val="24"/>
        </w:rPr>
        <w:instrText>ADDIN CSL_CITATION {"citationItems":[{"id":"ITEM-1","itemData":{"DOI":"10.1108/xjm-07-2020-0039","ISSN":"0973-1954","abstract":"Purpose This study aims to empirically explore e-banking service quality and its impact on the e-banking loyalty through a mediating impact of e-banking satisfaction. The account holders of three domestic systemically important banks of Pakistan were surveyed during COVID-19 to examine the electronic services provided by these banks. Design/methodology/approach The data was collected through an adapted questionnaire by using emails and messaging applications. The database of a local marketing company in Pakistan was used, and 976 responses were included in the analysis. The structured equation modeling was used to test the propositions of study. Findings The findings delineate that reliability and website design proved to increase e-banking loyalty, particularly during COVID-19. The link between e-banking privacy and security and e-banking loyalty was proved as fully mediated by e-banking satisfaction; however, indirect effect of the reliability and website design with e-banking loyalty was partially mediated. Practical implications In strategic planning of e-banking mechanisms and the associated consumer behavior, the results of this study can be helpful for policymakers. In case of similar epidemics and natural calamities, consumers may depict similar behavior as shown during the lockdown and social distancing during COVID-19; hence, the study can help regulatory bodies in preparing their safety roadmap. Originality/value The mediating effect of e-banking satisfaction between privacy &amp; Security and e-banking loyalty implies that customer give importance to secure e-banking platforms. There can be a variation in their loyalty because of privacy concerns. The application of cognitive–motivational–relational (CMR) theory in a relationship between e-banking service quality and e-banking loyalty with a mediating role of satisfaction is an emotional response to capture the behavioral changes during COVID-19. It enables researchers to understand the CMR theory concerning COVID-19 and e-banking perspective.","author":[{"dropping-particle":"","family":"Haq","given":"Inzamam UI","non-dropping-particle":"","parse-names":false,"suffix":""},{"dropping-particle":"","family":"Awan","given":"Tahir Mumtaz","non-dropping-particle":"","parse-names":false,"suffix":""}],"container-title":"Vilakshan - XIMB Journal of Management","id":"ITEM-1","issue":"1/2","issued":{"date-parts":[["2020"]]},"page":"39-55","title":"Impact of e-banking service quality on e-loyalty in pandemic times through interplay of e-satisfaction","type":"article-journal","volume":"17"},"uris":["http://www.mendeley.com/documents/?uuid=71463a58-c2d4-496d-b4fc-5eb303fb8b0d"]}],"mendeley":{"formattedCitation":"(Haq &amp; Awan, 2020)","plainTextFormattedCitation":"(Haq &amp; Awan, 2020)","previouslyFormattedCitation":"(Haq &amp; Awan,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(Haq &amp; Awan, 2020)</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iCs/>
          <w:sz w:val="24"/>
        </w:rPr>
      </w:pPr>
      <w:r w:rsidRPr="00D019C2">
        <w:rPr>
          <w:rFonts w:eastAsia="Times New Roman"/>
          <w:iCs/>
          <w:sz w:val="24"/>
        </w:rPr>
        <w:t xml:space="preserve">Objects from previous research conducted in other countries such as Lebanon and Pakistan, most likely differences in customer culture will affect their application in this study. As revealed </w:t>
      </w:r>
      <w:r w:rsidRPr="00D019C2">
        <w:rPr>
          <w:rFonts w:eastAsia="Times New Roman"/>
          <w:sz w:val="24"/>
        </w:rPr>
        <w:fldChar w:fldCharType="begin" w:fldLock="1"/>
      </w:r>
      <w:r w:rsidRPr="00D019C2">
        <w:rPr>
          <w:rFonts w:eastAsia="Times New Roman"/>
          <w:sz w:val="24"/>
        </w:rPr>
        <w:instrText>ADDIN CSL_CITATION {"citationItems":[{"id":"ITEM-1","itemData":{"ISBN":"0520130049","abstract":"Internet banking service quality and its implication on e-customer satisfaction and e-customer loyalty 1 Introduction Internet banking has customers who interact through network technology, whereas traditional banking interacts with customers on non-website based settings. However, internet banking services have unique characteristics that traditional banking services do not possess. For example, internet banking provides the customers to carry out a range of banking activities electronically at any time and place with low handling cost (Angelakopoulos","author":[{"dropping-particle":"","family":"Amin","given":"Muslim","non-dropping-particle":"","parse-names":false,"suffix":""}],"container-title":"International Journal of Bank Marketing","id":"ITEM-1","issue":"1","issued":{"date-parts":[["2016"]]},"page":"1-5","title":"Internet banking service quality and its implication on e-customer satisfaction and e-customer loyalty","type":"article-journal","volume":"34"},"uris":["http://www.mendeley.com/documents/?uuid=792d12d2-9f6c-4b85-b377-ca755c59c768"]}],"mendeley":{"formattedCitation":"(Amin, 2016)","plainTextFormattedCitation":"(Amin, 2016)","previouslyFormattedCitation":"(Amin, 2016)"},"properties":{"noteIndex":0},"schema":"https://github.com/citation-style-language/schema/raw/master/csl-citation.json"}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(Amin, 2016)</w:t>
      </w:r>
      <w:r w:rsidRPr="00D019C2">
        <w:rPr>
          <w:rFonts w:eastAsia="Times New Roman"/>
          <w:sz w:val="24"/>
        </w:rPr>
        <w:fldChar w:fldCharType="end"/>
      </w:r>
      <w:r w:rsidRPr="00D019C2">
        <w:rPr>
          <w:rFonts w:eastAsia="Times New Roman"/>
          <w:iCs/>
          <w:sz w:val="24"/>
        </w:rPr>
        <w:t>, that the scale of the quality of services developed in one culture can be different from other cultures. The different interpersonal designs of different industries can also differ from country to country.</w:t>
      </w:r>
    </w:p>
    <w:p w:rsidR="00095EF9" w:rsidRDefault="00095EF9" w:rsidP="00D019C2">
      <w:pPr>
        <w:spacing w:beforeLines="50" w:before="120" w:afterLines="50" w:after="120"/>
        <w:ind w:right="119"/>
        <w:rPr>
          <w:rFonts w:eastAsia="Times New Roman"/>
          <w:iCs/>
          <w:sz w:val="24"/>
        </w:rPr>
      </w:pPr>
      <w:r w:rsidRPr="00D019C2">
        <w:rPr>
          <w:rFonts w:eastAsia="Times New Roman"/>
          <w:iCs/>
          <w:sz w:val="24"/>
        </w:rPr>
        <w:t>Thus, this study will discuss the quality of Pegadaian Digital services and their implications for customer satisfaction.</w:t>
      </w:r>
    </w:p>
    <w:p w:rsidR="007E252C" w:rsidRPr="007E252C" w:rsidRDefault="007E252C" w:rsidP="007E252C">
      <w:pPr>
        <w:pStyle w:val="ListParagraph"/>
        <w:widowControl/>
        <w:numPr>
          <w:ilvl w:val="0"/>
          <w:numId w:val="24"/>
        </w:numPr>
        <w:spacing w:beforeLines="50" w:before="120" w:afterLines="50" w:after="120"/>
        <w:ind w:left="284" w:hanging="284"/>
        <w:rPr>
          <w:b/>
          <w:sz w:val="24"/>
        </w:rPr>
      </w:pPr>
      <w:r w:rsidRPr="007E252C">
        <w:rPr>
          <w:b/>
          <w:sz w:val="24"/>
        </w:rPr>
        <w:t>Literature Review</w:t>
      </w:r>
    </w:p>
    <w:p w:rsidR="00095EF9" w:rsidRPr="007E252C" w:rsidRDefault="007E252C" w:rsidP="00D019C2">
      <w:pPr>
        <w:spacing w:beforeLines="50" w:before="120" w:afterLines="50" w:after="120"/>
        <w:ind w:right="119"/>
        <w:rPr>
          <w:rFonts w:eastAsia="Times New Roman"/>
          <w:bCs/>
          <w:i/>
          <w:sz w:val="24"/>
        </w:rPr>
      </w:pPr>
      <w:r w:rsidRPr="007E252C">
        <w:rPr>
          <w:rFonts w:eastAsia="Times New Roman"/>
          <w:bCs/>
          <w:i/>
          <w:sz w:val="24"/>
        </w:rPr>
        <w:t xml:space="preserve">2.1 </w:t>
      </w:r>
      <w:r w:rsidR="00095EF9" w:rsidRPr="007E252C">
        <w:rPr>
          <w:rFonts w:eastAsia="Times New Roman"/>
          <w:bCs/>
          <w:i/>
          <w:sz w:val="24"/>
        </w:rPr>
        <w:t>Pegadaian Digital</w:t>
      </w:r>
    </w:p>
    <w:p w:rsidR="00095EF9" w:rsidRDefault="00095EF9" w:rsidP="00D019C2">
      <w:pPr>
        <w:spacing w:beforeLines="50" w:before="120" w:afterLines="50" w:after="120"/>
        <w:ind w:right="119"/>
        <w:rPr>
          <w:rFonts w:eastAsia="Times New Roman"/>
          <w:sz w:val="24"/>
        </w:rPr>
      </w:pPr>
      <w:r w:rsidRPr="00D019C2">
        <w:rPr>
          <w:rFonts w:eastAsia="Times New Roman"/>
          <w:sz w:val="24"/>
        </w:rPr>
        <w:t>Disruption due to innovative technological changes encourages Pegadaian to continue to innovate digital products and services to increase competitiveness in the financial services industry (Pegadaian Annual Report, 2021). Pegadaian Digital was first released in 2018 which aims so that customers can complete all transactions without having to come to the Pegadaian office directly (Sahabat pegadaian, 2021).</w:t>
      </w:r>
    </w:p>
    <w:p w:rsidR="007E252C" w:rsidRPr="007E252C" w:rsidRDefault="007E252C" w:rsidP="00D019C2">
      <w:pPr>
        <w:spacing w:beforeLines="50" w:before="120" w:afterLines="50" w:after="120"/>
        <w:ind w:right="119"/>
        <w:rPr>
          <w:rFonts w:eastAsia="Times New Roman"/>
          <w:i/>
          <w:sz w:val="24"/>
        </w:rPr>
      </w:pPr>
      <w:r w:rsidRPr="007E252C">
        <w:rPr>
          <w:rFonts w:eastAsia="Times New Roman"/>
          <w:i/>
          <w:sz w:val="24"/>
        </w:rPr>
        <w:t xml:space="preserve">2.2 </w:t>
      </w:r>
      <w:r w:rsidR="000200F9">
        <w:rPr>
          <w:rFonts w:eastAsia="Times New Roman"/>
          <w:i/>
          <w:sz w:val="24"/>
        </w:rPr>
        <w:t>H</w:t>
      </w:r>
      <w:r w:rsidRPr="007E252C">
        <w:rPr>
          <w:rFonts w:eastAsia="Times New Roman"/>
          <w:i/>
          <w:sz w:val="24"/>
        </w:rPr>
        <w:t>ypotheses</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Reliability is the company's ability to deliver promised services reliably and accurately. With reliable service all customer needs will be met and customers will feel satisfied with it </w:t>
      </w:r>
      <w:r w:rsidRPr="00D019C2">
        <w:rPr>
          <w:rFonts w:eastAsia="Times New Roman"/>
          <w:sz w:val="24"/>
        </w:rPr>
        <w:fldChar w:fldCharType="begin" w:fldLock="1"/>
      </w:r>
      <w:r w:rsidRPr="00D019C2">
        <w:rPr>
          <w:rFonts w:eastAsia="Times New Roman"/>
          <w:sz w:val="24"/>
        </w:rPr>
        <w:instrText>ADDIN CSL_CITATION {"citationItems":[{"id":"ITEM-1","itemData":{"DOI":"10.1108/IJWBR-12-2018-0070","ISSN":"17511070","abstract":"Purpose: The purpose of this study is to compare satisfied and non-satisfied customers in the context of wine tasting rooms using the SERVQUAL model and to examine the relationships in the model in terms of service experience to better understand customer needs. Design/methodology/approach: The data used in this study were derived from a survey conducted among wineries in British Columbia, Canada. Analysis of survey results using the partial least squares structural equation modeling was undertaken. Sample size was 402. Findings: The findings show that the SERVQUAL constructs that had the most impact on customer satisfaction and dissatisfaction were tangibility and assurance. Somewhat surprisingly, the perceived value for money construct was not significantly related to customer satisfaction but was significantly related to repurchase intent. Furthermore, all SERVQUAL constructs, except the reliability construct, were significantly related to customer satisfaction. Originality/value: This study provides an overview of how wineries can improve their services to increase the number of satisfied customers.","author":[{"dropping-particle":"","family":"Haverila","given":"Matti","non-dropping-particle":"","parse-names":false,"suffix":""},{"dropping-particle":"","family":"Haverila","given":"Kai","non-dropping-particle":"","parse-names":false,"suffix":""},{"dropping-particle":"","family":"Arora","given":"Mehak","non-dropping-particle":"","parse-names":false,"suffix":""}],"container-title":"International Journal of Wine Business Research","id":"ITEM-1","issue":"2","issued":{"date-parts":[["2019"]]},"page":"301-324","title":"Comparing the service experience of satisfied and non-satisfied customers in the context of wine tasting rooms using the SERVQUAL model","type":"article-journal","volume":"32"},"uris":["http://www.mendeley.com/documents/?uuid=a980254f-8284-4347-9620-9c108b2df077"]}],"mendeley":{"formattedCitation":"(Haverila et al., 2019)","plainTextFormattedCitation":"(Haverila et al., 2019)","previouslyFormattedCitation":"(Haverila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(Haverila et al., 2019)</w:t>
      </w:r>
      <w:r w:rsidRPr="00D019C2">
        <w:rPr>
          <w:rFonts w:eastAsia="Times New Roman"/>
          <w:sz w:val="24"/>
        </w:rPr>
        <w:fldChar w:fldCharType="end"/>
      </w:r>
      <w:r w:rsidRPr="00D019C2">
        <w:rPr>
          <w:rFonts w:eastAsia="Times New Roman"/>
          <w:sz w:val="24"/>
        </w:rPr>
        <w:t xml:space="preserve">. Some previous studies have proven that reliability has the strongest influence on customer satisfaction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{"citationItems":[{"id":"ITEM-1","itemData":{"DOI":"10.1108/xjm-07-2020-0039","ISSN":"0973-1954","abstract":"Purpose This study aims to empirically explore e-banking service quality and its impact on the e-banking loyalty through a mediating impact of e-banking satisfaction. The account holders of three domestic systemically important banks of Pakistan were surveyed during COVID-19 to examine the electronic services provided by these banks. Design/methodology/approach The data was collected through an adapted questionnaire by using emails and messaging applications. The database of a local marketing company in Pakistan was used, and 976 responses were included in the analysis. The structured equation modeling was used to test the propositions of study. Findings The findings delineate that reliability and website design proved to increase e-banking loyalty, particularly during COVID-19. The link between e-banking privacy and security and e-banking loyalty was proved as fully mediated by e-banking satisfaction; however, indirect effect of the reliability and website design with e-banking loyalty was partially mediated. Practical implications In strategic planning of e-banking mechanisms and the associated consumer behavior, the results of this study can be helpful for policymakers. In case of similar epidemics and natural calamities, consumers may depict similar behavior as shown during the lockdown and social distancing during COVID-19; hence, the study can help regulatory bodies in preparing their safety roadmap. Originality/value The mediating effect of e-banking satisfaction between privacy &amp; Security and e-banking loyalty implies that customer give importance to secure e-banking platforms. There can be a variation in their loyalty because of privacy concerns. The application of cognitive–motivational–relational (CMR) theory in a relationship between e-banking service quality and e-banking loyalty with a mediating role of satisfaction is an emotional response to capture the behavioral changes during COVID-19. It enables researchers to understand the CMR theory concerning COVID-19 and e-banking perspective.","author":[{"dropping-particle":"","family":"Haq","given":"Inzamam UI","non-dropping-particle":"","parse-names":false,"suffix":""},{"dropping-particle":"","family":"Awan","given":"Tahir Mumtaz","non-dropping-particle":"","parse-names":false,"suffix":""}],"container-title":"Vilakshan - XIMB Journal of Management","id":"ITEM-1","issue":"1/2","issued":{"date-parts":[["2020"]]},"page":"39-55","title":"Impact of e-banking service quality on e-loyalty in pandemic times through interplay of e-satisfaction","type":"article-journal","volume":"17"},"uris":["http://www.mendeley.com/documents/?uuid=71463a58-c2d4-496d-b4fc-5eb303fb8b0d"]}],"mendeley":{"formattedCitation":"(Haq &amp; Awan, 2020)","plainTextFormattedCitation":"(Haq &amp; Awan, 2020)","previouslyFormattedCitation":"(Haq &amp; Awan,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(Haq &amp; Awan, 2020)</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{"citationItems":[{"id":"ITEM-1","itemData":{"DOI":"10.5430/jbar.v5n2p27","ISSN":"1927-9507","abstract":"Customer satisfaction is imperative for the incessant survival of any organization around the world. This research work intends to investigate the impact of E-banking variables on customer satisfaction in Pakistan. Five service quality dimensions; reliability, responsiveness, assurance, tangibles and empathy, derived from the SERVQUAL model with support of literature review have been selected as forecasters of customer satisfaction in E-banking. Research design of the study is quantitative. Data has been gathered through already tested questionnaire from 264 E-banking users as respondents, from different cities of Pakistan. Results of the study have revealed that there is momentous relationship between service quality dimensions and customer satisfaction in E-banking in Pakistan, with more weightage of reliability, responsiveness and assurance among the five dimensions. Through this study we can conclude that service quality in E-banking leads to satisfied customers and thus banks can gain competitive advantage by offering better-quality services to their customers in today's emulous world.","author":[{"dropping-particle":"","family":"Toor","given":"Areeba","non-dropping-particle":"","parse-names":false,"suffix":""},{"dropping-particle":"","family":"Hunain","given":"Mudassir","non-dropping-particle":"","parse-names":false,"suffix":""},{"dropping-particle":"","family":"Hussain","given":"Talha","non-dropping-particle":"","parse-names":false,"suffix":""},{"dropping-particle":"","family":"Ali","given":"Shoaib","non-dropping-particle":"","parse-names":false,"suffix":""},{"dropping-particle":"","family":"Shahid","given":"Adnan","non-dropping-particle":"","parse-names":false,"suffix":""}],"container-title":"Journal of Business Administration Research","id":"ITEM-1","issue":"2","issued":{"date-parts":[["2016"]]},"page":"27-40","title":"The Impact of E-Banking on Customer Satisfaction: Evidence from Banking Sector of Pakistan","type":"article-journal","volume":"5"},"uris":["http://www.mendeley.com/documents/?uuid=fe6a2d12-49ce-4df7-a5cb-98e4b51ed371"]}],"mendeley":{"formattedCitation":"(Toor et al., 2016)","plainTextFormattedCitation":"(Toor et al., 2016)","previouslyFormattedCitation":"(Toor et al., 2016)"},"properties":{"noteIndex":0},"schema":"https://github.com/citation-style-language/schema/raw/master/csl-citation.json"}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(Toor et al., 2016)</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{"citationItems":[{"id":"ITEM-1","itemData":{"author":[{"dropping-particle":"","family":"Hadiyati","given":"Rini","non-dropping-particle":"","parse-names":false,"suffix":""}],"container-title":"Jurnal EMOR","id":"ITEM-1","issue":"1","issued":{"date-parts":[["2015"]]},"page":"35-55","title":"Pengaruh Kualitas Pelayanan Pt. Garuda Indonesia Airlines Terhadap Kepuasan Konsumen","type":"article-journal","volume":"1"},"uris":["http://www.mendeley.com/documents/?uuid=2f03f341-b056-4e0f-9cdc-a0a9c8817c3c"]}],"mendeley":{"formattedCitation":"(Hadiyati, 2015)","plainTextFormattedCitation":"(Hadiyati, 2015)","previouslyFormattedCitation":"(Hadiyati, 2015)"},"properties":{"noteIndex":0},"schema":"https://github.com/citation-style-language/schema/raw/master/csl-citation.json"}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(Hadiyati, 2015)</w:t>
      </w:r>
      <w:r w:rsidRPr="00D019C2">
        <w:rPr>
          <w:rFonts w:eastAsia="Times New Roman"/>
          <w:sz w:val="24"/>
        </w:rPr>
        <w:fldChar w:fldCharType="end"/>
      </w:r>
      <w:r w:rsidRPr="00D019C2">
        <w:rPr>
          <w:rFonts w:eastAsia="Times New Roman"/>
          <w:sz w:val="24"/>
        </w:rPr>
        <w:t>. Thus, it can be concluded that reliability has an influence on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H1: Reliability affects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lastRenderedPageBreak/>
        <w:t xml:space="preserve">Efficiency is the extent to which a person believes that using a service will improve performance in his work, so that all his needs can be achieved and do not require great effort when used </w:t>
      </w:r>
      <w:r w:rsidRPr="00D019C2">
        <w:rPr>
          <w:rFonts w:eastAsia="Times New Roman"/>
          <w:sz w:val="24"/>
        </w:rPr>
        <w:fldChar w:fldCharType="begin" w:fldLock="1"/>
      </w:r>
      <w:r w:rsidRPr="00D019C2">
        <w:rPr>
          <w:rFonts w:eastAsia="Times New Roman"/>
          <w:sz w:val="24"/>
        </w:rPr>
        <w:instrText>ADDIN CSL_CITATION {"citationItems":[{"id":"ITEM-1","itemData":{"DOI":"10.31311/ji.v5i1.2717","ISSN":"2355-6579","abstract":"Abstrak\r Internet banking merupakan salah satu teknologi transaksi perbankan yang ditawarkan oleh bank-bank komersial di Indonesia untuk para nasabah dalam melakukan transaksi seperti transfer, pembayaran, dan sebagainya dengan mudah dan cepat. Sebagian besar nasabah lebih memilih melakukan transaksi dengan internet banking dibandingkan harus mendatangi ke bank, hal ini berdasarkan OJK (Otoritas Jasa Keuangan) mencatat bahwa jumlah pengguna e-banking meningkat sebesar 270 % dari 13,6 juta nasabah pada tahun 2012 menjadi 50,4 juta nasabah pada tahun 2016. Peningkatan terjadi dikarenakan adanya kebutuhan masyarakat dalam memanfaatkan teknologi. Penelitian ini bertujuan untuk mengetahui pengaruh internet banking terhadap minat nasabah dengan TAM (Technology Acceptance Model)yaitu persepsi kemudahan dan persepsi kegunaan. Metode pengumpulan data dengan kuesioner secara random sampling sebanyak 104 responden nasabah BRI dengan menggunakan skala Likert, pengujian data melalui uji validitas, reabilitas, normalitas, linearitas, uji regresi dan koefisien determinasi dan pengolahan kuesioner dengan SPSS. Hasil penelitian menunjukkan bahwa persepsi kemanfaatan penggunaan internet banking terhadap persepsi kemudahan dalam bertransaksi bagi nasabah Bank BRI.Semakin banyak manfaat yang dirasakan para nasabah,maka akan mempengaruhi kemudahan bagi nasabah setiap bertransaksi menggunakan internet banking.\r \r Kata Kunci: Internet banking, Technology Acceptance Model, persepsi kemudahan, persepsi kegunaan.\r \r Abstract\r Internet banking is one of the banking transaction technology offered by commercial banks in Indonesia for customers in transactions such as transfers, payments, and so on easily and quickly. Most customers prefer to make transactions with internet banking rather than go to banks, according to OJK (Financial Services Authority) noting that the number of e-banking users increased by 270% from 13.6 million customers in 2012 to 50.4 million customers in the year 2016. Increases occur due to the needs of the community in utilizing technology. This study aims to determine the effect of internet banking on customer interest with TAM (Technology Acceptance Model) that is perception of ease and perception of usability. Methods of collecting data with questioner by random sampling of 104 respondents of BRI customers by using Likert scale, testing data through validity test, reliability, normality, linearity, regression test and coefficient of determination and quest…","author":[{"dropping-particle":"","family":"Yani","given":"Evi","non-dropping-particle":"","parse-names":false,"suffix":""},{"dropping-particle":"","family":"Lestari","given":"Ade Fitria","non-dropping-particle":"","parse-names":false,"suffix":""},{"dropping-particle":"","family":"Amalia","given":"Hilda","non-dropping-particle":"","parse-names":false,"suffix":""},{"dropping-particle":"","family":"Puspita","given":"Ari","non-dropping-particle":"","parse-names":false,"suffix":""}],"container-title":"Jurnal Informatika","id":"ITEM-1","issue":"1","issued":{"date-parts":[["2018"]]},"page":"34-42","title":"Pengaruh Internet Banking Terhadap Minat Nasabah Dalam Bertransaksi Dengan Technology Acceptance Model","type":"article-journal","volume":"5"},"uris":["http://www.mendeley.com/documents/?uuid=8afd1b01-59c1-42c8-8e59-864f18535820"]}],"mendeley":{"formattedCitation":"(Yani et al., 2018)","plainTextFormattedCitation":"(Yani et al., 2018)","previouslyFormattedCitation":"(Yani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(Yani et al., 2018)</w:t>
      </w:r>
      <w:r w:rsidRPr="00D019C2">
        <w:rPr>
          <w:rFonts w:eastAsia="Times New Roman"/>
          <w:sz w:val="24"/>
        </w:rPr>
        <w:fldChar w:fldCharType="end"/>
      </w:r>
      <w:r w:rsidRPr="00D019C2">
        <w:rPr>
          <w:rFonts w:eastAsia="Times New Roman"/>
          <w:sz w:val="24"/>
        </w:rPr>
        <w:t xml:space="preserve">. Efficiency in the context of digital services in addition to assisting customers in saving energy, time and cost must also have advanced features, complete yet simple and easy to use </w:t>
      </w:r>
      <w:r w:rsidRPr="00D019C2">
        <w:rPr>
          <w:rFonts w:eastAsia="Times New Roman"/>
          <w:sz w:val="24"/>
        </w:rPr>
        <w:fldChar w:fldCharType="begin" w:fldLock="1"/>
      </w:r>
      <w:r w:rsidRPr="00D019C2">
        <w:rPr>
          <w:rFonts w:eastAsia="Times New Roman"/>
          <w:sz w:val="24"/>
        </w:rPr>
        <w:instrText>ADDIN CSL_CITATION {"citationItems":[{"id":"ITEM-1","itemData":{"DOI":"10.17509/ijost.v5i1.18754","ISSN":"25278045","abstract":"This study aimed to design a batik learning medium for vocational high school students in based on multiplatform. The application made was expected to support heutagogy approach – based learning and to deal with the development of science and technology integrated in the curriculum of vocational high schools. The application developed, namely e-botik, was an integration of several previously-designed applications using Code ignitor (CI) framework. The database used was My-SQL. It is commonly known that Code igniter is an open source web application framework utilized to create dynamic PHP applications. In this study, e-botik consisted of three main components including interface, database, and application programming interface (API). Some of the applications combined were ARtikon_joyful (Android-based), Video Kasumedangan Batik (movie player), Nalungtik Batik (desktop-based), Digi_Learnik (web-based), Batik UPI (manual), Batik Cireundeu (manual), and Lembar Balik (manual). The combination proceeded web-based so that it was compatible with various operating systems. The application (e-botik) was designed and then tested. The test was performed through whitebox testing and blackbox testing. The results of the test showed that it ran well and was able to be used a batik learning media. It is expected that students can utilize e-botik in selecting topics of learning batik in accordance with their competences and needs. This condition enables e-botik to support learning batik through heutagogical approach. In addition, the application was also validated in terms of both system and usage aspects.","author":[{"dropping-particle":"","family":"Widiaty","given":"Isma","non-dropping-particle":"","parse-names":false,"suffix":""},{"dropping-particle":"","family":"Ana","given":"","non-dropping-particle":"","parse-names":false,"suffix":""},{"dropping-particle":"","family":"Riza","given":"Lala Septem","non-dropping-particle":"","parse-names":false,"suffix":""},{"dropping-particle":"","family":"Abdullah","given":"Ade Gafar","non-dropping-particle":"","parse-names":false,"suffix":""},{"dropping-particle":"","family":"Mubaroq","given":"Sugeng Rifqi","non-dropping-particle":"","parse-names":false,"suffix":""}],"container-title":"Indonesian Journal of Science and Technology","id":"ITEM-1","issue":"1","issued":{"date-parts":[["2020"]]},"page":"45-61","title":"Multiplatform application technology – based heutagogy on learning batik: A curriculum development framework","type":"article-journal","volume":"5"},"uris":["http://www.mendeley.com/documents/?uuid=e0cd3996-3d45-4ea3-b4ff-39adcdd83643"]}],"mendeley":{"formattedCitation":"(Widiaty et al., 2020)","plainTextFormattedCitation":"(Widiaty et al., 2020)","previouslyFormattedCitation":"(Widiaty et al.,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(Widiaty et al., 2020)</w:t>
      </w:r>
      <w:r w:rsidRPr="00D019C2">
        <w:rPr>
          <w:rFonts w:eastAsia="Times New Roman"/>
          <w:sz w:val="24"/>
        </w:rPr>
        <w:fldChar w:fldCharType="end"/>
      </w:r>
      <w:r w:rsidRPr="00D019C2">
        <w:rPr>
          <w:rFonts w:eastAsia="Times New Roman"/>
          <w:sz w:val="24"/>
        </w:rPr>
        <w:t xml:space="preserve">. Some previous studies have proven that efficiency has an influence on customer satisfaction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{"citationItems":[{"id":"ITEM-1","itemData":{"ISBN":"0520130049","abstract":"Internet banking service quality and its implication on e-customer satisfaction and e-customer loyalty 1 Introduction Internet banking has customers who interact through network technology, whereas traditional banking interacts with customers on non-website based settings. However, internet banking services have unique characteristics that traditional banking services do not possess. For example, internet banking provides the customers to carry out a range of banking activities electronically at any time and place with low handling cost (Angelakopoulos","author":[{"dropping-particle":"","family":"Amin","given":"Muslim","non-dropping-particle":"","parse-names":false,"suffix":""}],"container-title":"International Journal of Bank Marketing","id":"ITEM-1","issue":"1","issued":{"date-parts":[["2016"]]},"page":"1-5","title":"Internet banking service quality and its implication on e-customer satisfaction and e-customer loyalty","type":"article-journal","volume":"34"},"uris":["http://www.mendeley.com/documents/?uuid=792d12d2-9f6c-4b85-b377-ca755c59c768"]}],"mendeley":{"formattedCitation":"(Amin, 2016)","plainTextFormattedCitation":"(Amin, 2016)","previouslyFormattedCitation":"(Amin, 2016)"},"properties":{"noteIndex":0},"schema":"https://github.com/citation-style-language/schema/raw/master/csl-citation.json"}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(Amin, 2016)</w:t>
      </w:r>
      <w:r w:rsidRPr="00D019C2">
        <w:rPr>
          <w:rFonts w:eastAsia="Times New Roman"/>
          <w:sz w:val="24"/>
        </w:rPr>
        <w:fldChar w:fldCharType="end"/>
      </w:r>
      <w:r w:rsidRPr="00D019C2">
        <w:rPr>
          <w:rFonts w:eastAsia="Times New Roman"/>
          <w:sz w:val="24"/>
        </w:rPr>
        <w:t>. Thus, it can be concluded that efficiency has an influence on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H2: Efficiency affects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Security is an effort to maintain the confidentiality of operations, refrain from sharing personal information and ensure a good level of security for customer information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 xml:space="preserve">. Security covers trustworthy nature, free from risk or doubt </w:t>
      </w:r>
      <w:r w:rsidRPr="00D019C2">
        <w:rPr>
          <w:rFonts w:eastAsia="Times New Roman"/>
          <w:sz w:val="24"/>
        </w:rPr>
        <w:fldChar w:fldCharType="begin" w:fldLock="1"/>
      </w:r>
      <w:r w:rsidRPr="00D019C2">
        <w:rPr>
          <w:rFonts w:eastAsia="Times New Roman"/>
          <w:sz w:val="24"/>
        </w:rPr>
        <w:instrText>ADDIN CSL_CITATION {"citationItems":[{"id":"ITEM-1","itemData":{"ISBN":"978-623-01-0229-5","author":[{"dropping-particle":"","family":"Tjiptono","given":"Fandy","non-dropping-particle":"","parse-names":false,"suffix":""}],"edition":"1","editor":[{"dropping-particle":"","family":"Diana","given":"Anastasia","non-dropping-particle":"","parse-names":false,"suffix":""}],"id":"ITEM-1","issued":{"date-parts":[["2019"]]},"number-of-pages":"518","publisher":"ANDI","publisher-place":"Yogyakarta","title":"Strategi Pemasaran","type":"book"},"uris":["http://www.mendeley.com/documents/?uuid=7036d242-e907-4fb9-abe8-de5ac5fc6b4c"]}],"mendeley":{"formattedCitation":"(Tjiptono, 2019)","plainTextFormattedCitation":"(Tjiptono, 2019)","previouslyFormattedCitation":"(Tjiptono,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(Tjiptono, 2019)</w:t>
      </w:r>
      <w:r w:rsidRPr="00D019C2">
        <w:rPr>
          <w:rFonts w:eastAsia="Times New Roman"/>
          <w:sz w:val="24"/>
        </w:rPr>
        <w:fldChar w:fldCharType="end"/>
      </w:r>
      <w:r w:rsidRPr="00D019C2">
        <w:rPr>
          <w:rFonts w:eastAsia="Times New Roman"/>
          <w:sz w:val="24"/>
        </w:rPr>
        <w:t xml:space="preserve">. Some previous studies have proven that security has an influence on customer satisfaction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{"citationItems":[{"id":"ITEM-1","itemData":{"DOI":"10.1108/xjm-07-2020-0039","ISSN":"0973-1954","abstract":"Purpose This study aims to empirically explore e-banking service quality and its impact on the e-banking loyalty through a mediating impact of e-banking satisfaction. The account holders of three domestic systemically important banks of Pakistan were surveyed during COVID-19 to examine the electronic services provided by these banks. Design/methodology/approach The data was collected through an adapted questionnaire by using emails and messaging applications. The database of a local marketing company in Pakistan was used, and 976 responses were included in the analysis. The structured equation modeling was used to test the propositions of study. Findings The findings delineate that reliability and website design proved to increase e-banking loyalty, particularly during COVID-19. The link between e-banking privacy and security and e-banking loyalty was proved as fully mediated by e-banking satisfaction; however, indirect effect of the reliability and website design with e-banking loyalty was partially mediated. Practical implications In strategic planning of e-banking mechanisms and the associated consumer behavior, the results of this study can be helpful for policymakers. In case of similar epidemics and natural calamities, consumers may depict similar behavior as shown during the lockdown and social distancing during COVID-19; hence, the study can help regulatory bodies in preparing their safety roadmap. Originality/value The mediating effect of e-banking satisfaction between privacy &amp; Security and e-banking loyalty implies that customer give importance to secure e-banking platforms. There can be a variation in their loyalty because of privacy concerns. The application of cognitive–motivational–relational (CMR) theory in a relationship between e-banking service quality and e-banking loyalty with a mediating role of satisfaction is an emotional response to capture the behavioral changes during COVID-19. It enables researchers to understand the CMR theory concerning COVID-19 and e-banking perspective.","author":[{"dropping-particle":"","family":"Haq","given":"Inzamam UI","non-dropping-particle":"","parse-names":false,"suffix":""},{"dropping-particle":"","family":"Awan","given":"Tahir Mumtaz","non-dropping-particle":"","parse-names":false,"suffix":""}],"container-title":"Vilakshan - XIMB Journal of Management","id":"ITEM-1","issue":"1/2","issued":{"date-parts":[["2020"]]},"page":"39-55","title":"Impact of e-banking service quality on e-loyalty in pandemic times through interplay of e-satisfaction","type":"article-journal","volume":"17"},"uris":["http://www.mendeley.com/documents/?uuid=71463a58-c2d4-496d-b4fc-5eb303fb8b0d"]}],"mendeley":{"formattedCitation":"(Haq &amp; Awan, 2020)","plainTextFormattedCitation":"(Haq &amp; Awan, 2020)","previouslyFormattedCitation":"(Haq &amp; Awan,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(Haq &amp; Awan, 2020)</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{"citationItems":[{"id":"ITEM-1","itemData":{"DOI":"10.32497/keunis.v7i1.1527","ISSN":"2302-9315","abstract":"The Internet is an ideal media to take any banking activities due to it has the potential cost savings. Internet also one of the media used to improve services for the customers in order to reach customer loyalty. The function not only for giving information, but it also can handle banking transactions anytime and anywhere without being limited by time and distance. This study aims to determine how the influence of service quality of internet banking, customer satisfaction, and customer loyalty at Bank Rakyat Indonesia Sub-Branch Jamsostek. Sampling technique used was nonprobability sampling method. There 105 respondents were given questionnaire. The analysis of data is using SEM analysis (Structural Equation Modeling) with AMOS program. The results indicated that the variable of service quality of internet banking has positive and significant influence on customer satisfaction. Customer satisfaction has negative significantly correlated with customer loyalty. This result confirms that the service quality of internet banking has no significant direct influence on customer loyalty but it has a significant influence indirectly through customer satisfaction as mediating (intervening variable).","author":[{"dropping-particle":"","family":"Huda","given":"Ahmad N.","non-dropping-particle":"","parse-names":false,"suffix":""},{"dropping-particle":"","family":"Wahyuni","given":"Sri","non-dropping-particle":"","parse-names":false,"suffix":""}],"container-title":"ABFII Perbanas Jakarta","id":"ITEM-1","issue":"1","issued":{"date-parts":[["2019"]]},"page":"12","title":"nalisis Pengaruh Kualitas Layanan Internet Banking dan Tingkat Kepuasan Terhadap Loyalitas Nasabah Pada PT Bank Rakyat Indonesia (Persero) Tbk Kantor Cabang Pembantu Jamsostek Jakarta","type":"article-journal","volume":"7"},"uris":["http://www.mendeley.com/documents/?uuid=1444aa39-8c7b-4977-a98b-53fb3a6ec6c7"]}],"mendeley":{"formattedCitation":"(Huda &amp; Wahyuni, 2019)","plainTextFormattedCitation":"(Huda &amp; Wahyuni, 2019)","previouslyFormattedCitation":"(Huda &amp; Wahyuni,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(Huda &amp; Wahyuni, 2019)</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{"citationItems":[{"id":"ITEM-1","itemData":{"DOI":"10.5430/jbar.v5n2p27","ISSN":"1927-9507","abstract":"Customer satisfaction is imperative for the incessant survival of any organization around the world. This research work intends to investigate the impact of E-banking variables on customer satisfaction in Pakistan. Five service quality dimensions; reliability, responsiveness, assurance, tangibles and empathy, derived from the SERVQUAL model with support of literature review have been selected as forecasters of customer satisfaction in E-banking. Research design of the study is quantitative. Data has been gathered through already tested questionnaire from 264 E-banking users as respondents, from different cities of Pakistan. Results of the study have revealed that there is momentous relationship between service quality dimensions and customer satisfaction in E-banking in Pakistan, with more weightage of reliability, responsiveness and assurance among the five dimensions. Through this study we can conclude that service quality in E-banking leads to satisfied customers and thus banks can gain competitive advantage by offering better-quality services to their customers in today's emulous world.","author":[{"dropping-particle":"","family":"Toor","given":"Areeba","non-dropping-particle":"","parse-names":false,"suffix":""},{"dropping-particle":"","family":"Hunain","given":"Mudassir","non-dropping-particle":"","parse-names":false,"suffix":""},{"dropping-particle":"","family":"Hussain","given":"Talha","non-dropping-particle":"","parse-names":false,"suffix":""},{"dropping-particle":"","family":"Ali","given":"Shoaib","non-dropping-particle":"","parse-names":false,"suffix":""},{"dropping-particle":"","family":"Shahid","given":"Adnan","non-dropping-particle":"","parse-names":false,"suffix":""}],"container-title":"Journal of Business Administration Research","id":"ITEM-1","issue":"2","issued":{"date-parts":[["2016"]]},"page":"27-40","title":"The Impact of E-Banking on Customer Satisfaction: Evidence from Banking Sector of Pakistan","type":"article-journal","volume":"5"},"uris":["http://www.mendeley.com/documents/?uuid=fe6a2d12-49ce-4df7-a5cb-98e4b51ed371"]}],"mendeley":{"formattedCitation":"(Toor et al., 2016)","plainTextFormattedCitation":"(Toor et al., 2016)","previouslyFormattedCitation":"(Toor et al., 2016)"},"properties":{"noteIndex":0},"schema":"https://github.com/citation-style-language/schema/raw/master/csl-citation.json"}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(Toor et al., 2016)</w:t>
      </w:r>
      <w:r w:rsidRPr="00D019C2">
        <w:rPr>
          <w:rFonts w:eastAsia="Times New Roman"/>
          <w:sz w:val="24"/>
        </w:rPr>
        <w:fldChar w:fldCharType="end"/>
      </w:r>
      <w:r w:rsidRPr="00D019C2">
        <w:rPr>
          <w:rFonts w:eastAsia="Times New Roman"/>
          <w:sz w:val="24"/>
        </w:rPr>
        <w:t>. Thus, it can be concluded that security has an influence on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H3: Security affects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Responsiveness is a willingness to help customers and offer services quickly. Currently customers have requests, questions, complaints and issues whose time cannot be problems whose time cannot be determined. Therefore the service should be available whenever needed to respond to requests, pay special attention and provide solutions </w:t>
      </w:r>
      <w:r w:rsidRPr="00D019C2">
        <w:rPr>
          <w:rFonts w:eastAsia="Times New Roman"/>
          <w:sz w:val="24"/>
        </w:rPr>
        <w:fldChar w:fldCharType="begin" w:fldLock="1"/>
      </w:r>
      <w:r w:rsidRPr="00D019C2">
        <w:rPr>
          <w:rFonts w:eastAsia="Times New Roman"/>
          <w:sz w:val="24"/>
        </w:rPr>
        <w:instrText>ADDIN CSL_CITATION {"citationItems":[{"id":"ITEM-1","itemData":{"DOI":"10.1108/TR-10-2017-0160","ISSN":"17598451","abstract":"Purpose: This study aims to delve upon customer satisfaction and service quality within small- and medium-sized hotels (SMSHs) by using a modified SERVQUAL model. Design/methodology/approach: Data for the study were collected from a sample of 253 guests of varying nationalities who stayed at SMSHs of one-to-three-star ratings in the UAE. Moreover, 15 face-to-face interviews were conducted. The influence of the five dimensions of the SERVQUAL model on visitors’ satisfaction was explored using structural equation modelling. Findings: The results indicated that three out of the five dimensions of SERVQUAL, namely, tangible, responsiveness and assurance, have significant positive impact on visitors’ satisfaction of the SMSHs Industry. The remaining two dimensions of SERVQUAL, reliability and empathy, have no significant impact on visitors’ satisfaction. Originality/value: This study provides a major contribution in that it offers the potential to examine a vastly under researched area of customer satisfaction and service quality of SMSHs in a developing country.","author":[{"dropping-particle":"","family":"Ahmad","given":"Syed Zamberi","non-dropping-particle":"","parse-names":false,"suffix":""},{"dropping-particle":"","family":"Ahmad","given":"Norita","non-dropping-particle":"","parse-names":false,"suffix":""},{"dropping-particle":"","family":"Papastathopoulos","given":"Avraam","non-dropping-particle":"","parse-names":false,"suffix":""}],"container-title":"Tourism Review","id":"ITEM-1","issue":"3","issued":{"date-parts":[["2019"]]},"page":"349-370","title":"Measuring service quality and customer satisfaction of the small- and medium-sized hotels (SMSHs) industry: lessons from United Arab Emirates (UAE)","type":"article-journal","volume":"74"},"uris":["http://www.mendeley.com/documents/?uuid=5adcd8f7-9c34-4216-afe6-11cac00a53d8"]}],"mendeley":{"formattedCitation":"(Ahmad et al., 2019)","plainTextFormattedCitation":"(Ahmad et al., 2019)","previouslyFormattedCitation":"(Ahmad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(Ahmad et al., 2019)</w:t>
      </w:r>
      <w:r w:rsidRPr="00D019C2">
        <w:rPr>
          <w:rFonts w:eastAsia="Times New Roman"/>
          <w:sz w:val="24"/>
        </w:rPr>
        <w:fldChar w:fldCharType="end"/>
      </w:r>
      <w:r w:rsidRPr="00D019C2">
        <w:rPr>
          <w:rFonts w:eastAsia="Times New Roman"/>
          <w:sz w:val="24"/>
        </w:rPr>
        <w:t xml:space="preserve">. Some previous studies have shown that responsiveness has an influence on customer satisfaction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{"citationItems":[{"id":"ITEM-1","itemData":{"DOI":"10.1108/TR-10-2017-0160","ISSN":"17598451","abstract":"Purpose: This study aims to delve upon customer satisfaction and service quality within small- and medium-sized hotels (SMSHs) by using a modified SERVQUAL model. Design/methodology/approach: Data for the study were collected from a sample of 253 guests of varying nationalities who stayed at SMSHs of one-to-three-star ratings in the UAE. Moreover, 15 face-to-face interviews were conducted. The influence of the five dimensions of the SERVQUAL model on visitors’ satisfaction was explored using structural equation modelling. Findings: The results indicated that three out of the five dimensions of SERVQUAL, namely, tangible, responsiveness and assurance, have significant positive impact on visitors’ satisfaction of the SMSHs Industry. The remaining two dimensions of SERVQUAL, reliability and empathy, have no significant impact on visitors’ satisfaction. Originality/value: This study provides a major contribution in that it offers the potential to examine a vastly under researched area of customer satisfaction and service quality of SMSHs in a developing country.","author":[{"dropping-particle":"","family":"Ahmad","given":"Syed Zamberi","non-dropping-particle":"","parse-names":false,"suffix":""},{"dropping-particle":"","family":"Ahmad","given":"Norita","non-dropping-particle":"","parse-names":false,"suffix":""},{"dropping-particle":"","family":"Papastathopoulos","given":"Avraam","non-dropping-particle":"","parse-names":false,"suffix":""}],"container-title":"Tourism Review","id":"ITEM-1","issue":"3","issued":{"date-parts":[["2019"]]},"page":"349-370","title":"Measuring service quality and customer satisfaction of the small- and medium-sized hotels (SMSHs) industry: lessons from United Arab Emirates (UAE)","type":"article-journal","volume":"74"},"uris":["http://www.mendeley.com/documents/?uuid=5adcd8f7-9c34-4216-afe6-11cac00a53d8"]}],"mendeley":{"formattedCitation":"(Ahmad et al., 2019)","plainTextFormattedCitation":"(Ahmad et al., 2019)","previouslyFormattedCitation":"(Ahmad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(Ahmad et al., 2019)</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{"citationItems":[{"id":"ITEM-1","itemData":{"DOI":"10.5430/jbar.v5n2p27","ISSN":"1927-9507","abstract":"Customer satisfaction is imperative for the incessant survival of any organization around the world. This research work intends to investigate the impact of E-banking variables on customer satisfaction in Pakistan. Five service quality dimensions; reliability, responsiveness, assurance, tangibles and empathy, derived from the SERVQUAL model with support of literature review have been selected as forecasters of customer satisfaction in E-banking. Research design of the study is quantitative. Data has been gathered through already tested questionnaire from 264 E-banking users as respondents, from different cities of Pakistan. Results of the study have revealed that there is momentous relationship between service quality dimensions and customer satisfaction in E-banking in Pakistan, with more weightage of reliability, responsiveness and assurance among the five dimensions. Through this study we can conclude that service quality in E-banking leads to satisfied customers and thus banks can gain competitive advantage by offering better-quality services to their customers in today's emulous world.","author":[{"dropping-particle":"","family":"Toor","given":"Areeba","non-dropping-particle":"","parse-names":false,"suffix":""},{"dropping-particle":"","family":"Hunain","given":"Mudassir","non-dropping-particle":"","parse-names":false,"suffix":""},{"dropping-particle":"","family":"Hussain","given":"Talha","non-dropping-particle":"","parse-names":false,"suffix":""},{"dropping-particle":"","family":"Ali","given":"Shoaib","non-dropping-particle":"","parse-names":false,"suffix":""},{"dropping-particle":"","family":"Shahid","given":"Adnan","non-dropping-particle":"","parse-names":false,"suffix":""}],"container-title":"Journal of Business Administration Research","id":"ITEM-1","issue":"2","issued":{"date-parts":[["2016"]]},"page":"27-40","title":"The Impact of E-Banking on Customer Satisfaction: Evidence from Banking Sector of Pakistan","type":"article-journal","volume":"5"},"uris":["http://www.mendeley.com/documents/?uuid=fe6a2d12-49ce-4df7-a5cb-98e4b51ed371"]}],"mendeley":{"formattedCitation":"(Toor et al., 2016)","plainTextFormattedCitation":"(Toor et al., 2016)","previouslyFormattedCitation":"(Toor et al., 2016)"},"properties":{"noteIndex":0},"schema":"https://github.com/citation-style-language/schema/raw/master/csl-citation.json"}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(Toor et al., 2016)</w:t>
      </w:r>
      <w:r w:rsidRPr="00D019C2">
        <w:rPr>
          <w:rFonts w:eastAsia="Times New Roman"/>
          <w:sz w:val="24"/>
        </w:rPr>
        <w:fldChar w:fldCharType="end"/>
      </w:r>
      <w:r w:rsidRPr="00D019C2">
        <w:rPr>
          <w:rFonts w:eastAsia="Times New Roman"/>
          <w:sz w:val="24"/>
        </w:rPr>
        <w:t>. Thus, it can be concluded that responsiveness has an influence on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H4: Responsiveness affects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Web design is the user's assessment of service features such as ease, composition, navigation, availability of information and web compatibility with consumer expectations </w:t>
      </w:r>
      <w:r w:rsidRPr="00D019C2">
        <w:rPr>
          <w:rFonts w:eastAsia="Times New Roman"/>
          <w:sz w:val="24"/>
        </w:rPr>
        <w:fldChar w:fldCharType="begin" w:fldLock="1"/>
      </w:r>
      <w:r w:rsidRPr="00D019C2">
        <w:rPr>
          <w:rFonts w:eastAsia="Times New Roman"/>
          <w:sz w:val="24"/>
        </w:rPr>
        <w:instrText>ADDIN CSL_CITATION {"citationItems":[{"id":"ITEM-1","itemData":{"abstract":"… design quality dan service quality memiliki peranan paling penting dalam repurchase intention situs web Shopee. Semakin tinggi tingkat kepuasan atas kualitas web dan kepuasan atas layanan yang diberikan terhadap suatu brand, semakin terikat pelanggan dengan brand …","author":[{"dropping-particle":"","family":"Priscillia","given":"M","non-dropping-particle":"","parse-names":false,"suffix":""},{"dropping-particle":"","family":"Budiono","given":"H","non-dropping-particle":"","parse-names":false,"suffix":""}],"container-title":"Jurnal Manajerial Dan Kewirausahaan","id":"ITEM-1","issue":"4","issued":{"date-parts":[["2020"]]},"page":"1033-1043","title":"Prediksi Website Design Quality dan Service Quality terhadap Repurchase Intention Pada Pelanggan Shopee di Jakarta Dengan Customer Trust Sebagai Mediasi","type":"article-journal","volume":"II"},"uris":["http://www.mendeley.com/documents/?uuid=1af51cf5-a437-4094-bca4-d60643c6a0d5"]}],"mendeley":{"formattedCitation":"(Priscillia &amp; Budiono, 2020)","plainTextFormattedCitation":"(Priscillia &amp; Budiono, 2020)","previouslyFormattedCitation":"(Priscillia &amp; Budiono,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(Priscillia &amp; Budiono, 2020)</w:t>
      </w:r>
      <w:r w:rsidRPr="00D019C2">
        <w:rPr>
          <w:rFonts w:eastAsia="Times New Roman"/>
          <w:sz w:val="24"/>
        </w:rPr>
        <w:fldChar w:fldCharType="end"/>
      </w:r>
      <w:r w:rsidRPr="00D019C2">
        <w:rPr>
          <w:rFonts w:eastAsia="Times New Roman"/>
          <w:sz w:val="24"/>
        </w:rPr>
        <w:t xml:space="preserve">. According </w:t>
      </w:r>
      <w:r w:rsidRPr="00D019C2">
        <w:rPr>
          <w:rFonts w:eastAsia="Times New Roman"/>
          <w:sz w:val="24"/>
        </w:rPr>
        <w:fldChar w:fldCharType="begin" w:fldLock="1"/>
      </w:r>
      <w:r w:rsidRPr="00D019C2">
        <w:rPr>
          <w:rFonts w:eastAsia="Times New Roman"/>
          <w:sz w:val="24"/>
        </w:rPr>
        <w:instrText>ADDIN CSL_CITATION {"citationItems":[{"id":"ITEM-1","itemData":{"DOI":"10.1016/j.heliyon.2019.e02690","ISSN":"24058440","abstract":"The purpose of this study is to develop new knowledge to better understand the most important dimensions of e-service quality that have impact on customer satisfaction, customer trust, and customer behavior, building on existing literature on e-service quality in online shopping. This study focuses on the four-dimensions of e-service quality model that better predict customer behavior. It not only tests the impact of customer satisfaction on customer behavior such as repurchase intention, word of mouth, and site revisit, but also the impact of customer trust. The result is expected to extend the knowledge about different country culture vis-á-vis different relevance of e-service quality attributes. Data from an online survey of 355 Indonesian online consumers was used to test the research model using structural equation modelling. The analytical results showed that three dimensions of e-service quality, namely website design, security/privacy and fulfilment affect overall e-service quality. Meanwhile, customer service is not significantly related to overall e-service quality. Overall e-service quality is statistically significantly related to customer behavior. Future research should consider a variety of product segments and/or other industries to make sure that the measurement works equally well. In other industry setting, the measurement may need to be adjusted. Future research could also use different methodologies such as focus group and interviews.","author":[{"dropping-particle":"","family":"Rita","given":"Paulo","non-dropping-particle":"","parse-names":false,"suffix":""},{"dropping-particle":"","family":"Oliveira","given":"Tiago","non-dropping-particle":"","parse-names":false,"suffix":""},{"dropping-particle":"","family":"Farisa","given":"Almira","non-dropping-particle":"","parse-names":false,"suffix":""}],"container-title":"Heliyon","id":"ITEM-1","issue":"10","issued":{"date-parts":[["2019"]]},"page":"e02690","publisher":"Elsevier Ltd","title":"The impact of e-service quality and customer satisfaction on customer behavior in online shopping","type":"article-journal","volume":"5"},"uris":["http://www.mendeley.com/documents/?uuid=21d14cc0-9f24-4985-886e-ac3305a8933d"]}],"mendeley":{"formattedCitation":"(Rita et al., 2019)","plainTextFormattedCitation":"(Rita et al., 2019)","previouslyFormattedCitation":"(Rita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(Rita et al., 2019)</w:t>
      </w:r>
      <w:r w:rsidRPr="00D019C2">
        <w:rPr>
          <w:rFonts w:eastAsia="Times New Roman"/>
          <w:sz w:val="24"/>
        </w:rPr>
        <w:fldChar w:fldCharType="end"/>
      </w:r>
      <w:r w:rsidRPr="00D019C2">
        <w:rPr>
          <w:rFonts w:eastAsia="Times New Roman"/>
          <w:sz w:val="24"/>
        </w:rPr>
        <w:t xml:space="preserve">, efficient web design should contain three main categories: information-oriented, transaction-oriented and customer-oriented. Some previous research has proven that web design has an influence on customer satisfaction </w:t>
      </w:r>
      <w:r w:rsidRPr="00D019C2">
        <w:rPr>
          <w:rFonts w:eastAsia="Times New Roman"/>
          <w:sz w:val="24"/>
        </w:rPr>
        <w:fldChar w:fldCharType="begin" w:fldLock="1"/>
      </w:r>
      <w:r w:rsidRPr="00D019C2">
        <w:rPr>
          <w:rFonts w:eastAsia="Times New Roman"/>
          <w:sz w:val="24"/>
        </w:rPr>
        <w:instrText>ADDIN CSL_CITATION {"citationItems":[{"id":"ITEM-1","itemData":{"DOI":"10.1108/xjm-07-2020-0039","ISSN":"0973-1954","abstract":"Purpose This study aims to empirically explore e-banking service quality and its impact on the e-banking loyalty through a mediating impact of e-banking satisfaction. The account holders of three domestic systemically important banks of Pakistan were surveyed during COVID-19 to examine the electronic services provided by these banks. Design/methodology/approach The data was collected through an adapted questionnaire by using emails and messaging applications. The database of a local marketing company in Pakistan was used, and 976 responses were included in the analysis. The structured equation modeling was used to test the propositions of study. Findings The findings delineate that reliability and website design proved to increase e-banking loyalty, particularly during COVID-19. The link between e-banking privacy and security and e-banking loyalty was proved as fully mediated by e-banking satisfaction; however, indirect effect of the reliability and website design with e-banking loyalty was partially mediated. Practical implications In strategic planning of e-banking mechanisms and the associated consumer behavior, the results of this study can be helpful for policymakers. In case of similar epidemics and natural calamities, consumers may depict similar behavior as shown during the lockdown and social distancing during COVID-19; hence, the study can help regulatory bodies in preparing their safety roadmap. Originality/value The mediating effect of e-banking satisfaction between privacy &amp; Security and e-banking loyalty implies that customer give importance to secure e-banking platforms. There can be a variation in their loyalty because of privacy concerns. The application of cognitive–motivational–relational (CMR) theory in a relationship between e-banking service quality and e-banking loyalty with a mediating role of satisfaction is an emotional response to capture the behavioral changes during COVID-19. It enables researchers to understand the CMR theory concerning COVID-19 and e-banking perspective.","author":[{"dropping-particle":"","family":"Haq","given":"Inzamam UI","non-dropping-particle":"","parse-names":false,"suffix":""},{"dropping-particle":"","family":"Awan","given":"Tahir Mumtaz","non-dropping-particle":"","parse-names":false,"suffix":""}],"container-title":"Vilakshan - XIMB Journal of Management","id":"ITEM-1","issue":"1/2","issued":{"date-parts":[["2020"]]},"page":"39-55","title":"Impact of e-banking service quality on e-loyalty in pandemic times through interplay of e-satisfaction","type":"article-journal","volume":"17"},"uris":["http://www.mendeley.com/documents/?uuid=71463a58-c2d4-496d-b4fc-5eb303fb8b0d"]}],"mendeley":{"formattedCitation":"(Haq &amp; Awan, 2020)","plainTextFormattedCitation":"(Haq &amp; Awan, 2020)","previouslyFormattedCitation":"(Haq &amp; Awan,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(Haq &amp; Awan, 2020)</w:t>
      </w:r>
      <w:r w:rsidRPr="00D019C2">
        <w:rPr>
          <w:rFonts w:eastAsia="Times New Roman"/>
          <w:sz w:val="24"/>
        </w:rPr>
        <w:fldChar w:fldCharType="end"/>
      </w:r>
      <w:r w:rsidRPr="00D019C2">
        <w:rPr>
          <w:rFonts w:eastAsia="Times New Roman"/>
          <w:sz w:val="24"/>
        </w:rPr>
        <w:t xml:space="preserve">; </w:t>
      </w:r>
      <w:r w:rsidRPr="00D019C2">
        <w:rPr>
          <w:rFonts w:eastAsia="Times New Roman"/>
          <w:sz w:val="24"/>
        </w:rPr>
        <w:fldChar w:fldCharType="begin" w:fldLock="1"/>
      </w:r>
      <w:r w:rsidRPr="00D019C2">
        <w:rPr>
          <w:rFonts w:eastAsia="Times New Roman"/>
          <w:sz w:val="24"/>
        </w:rPr>
        <w:instrText>ADDIN CSL_CITATION {"citationItems":[{"id":"ITEM-1","itemData":{"abstract":"… design quality dan service quality memiliki peranan paling penting dalam repurchase intention situs web Shopee. Semakin tinggi tingkat kepuasan atas kualitas web dan kepuasan atas layanan yang diberikan terhadap suatu brand, semakin terikat pelanggan dengan brand …","author":[{"dropping-particle":"","family":"Priscillia","given":"M","non-dropping-particle":"","parse-names":false,"suffix":""},{"dropping-particle":"","family":"Budiono","given":"H","non-dropping-particle":"","parse-names":false,"suffix":""}],"container-title":"Jurnal Manajerial Dan Kewirausahaan","id":"ITEM-1","issue":"4","issued":{"date-parts":[["2020"]]},"page":"1033-1043","title":"Prediksi Website Design Quality dan Service Quality terhadap Repurchase Intention Pada Pelanggan Shopee di Jakarta Dengan Customer Trust Sebagai Mediasi","type":"article-journal","volume":"II"},"uris":["http://www.mendeley.com/documents/?uuid=1af51cf5-a437-4094-bca4-d60643c6a0d5"]}],"mendeley":{"formattedCitation":"(Priscillia &amp; Budiono, 2020)","plainTextFormattedCitation":"(Priscillia &amp; Budiono, 2020)","previouslyFormattedCitation":"(Priscillia &amp; Budiono,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(Priscillia &amp; Budiono, 2020)</w:t>
      </w:r>
      <w:r w:rsidRPr="00D019C2">
        <w:rPr>
          <w:rFonts w:eastAsia="Times New Roman"/>
          <w:sz w:val="24"/>
        </w:rPr>
        <w:fldChar w:fldCharType="end"/>
      </w:r>
      <w:r w:rsidRPr="00D019C2">
        <w:rPr>
          <w:rFonts w:eastAsia="Times New Roman"/>
          <w:sz w:val="24"/>
        </w:rPr>
        <w:t>. Thus, it can be concluded that web design has an influence on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H5: Web design has an influence on customer satisfaction.</w:t>
      </w:r>
    </w:p>
    <w:p w:rsidR="00095EF9" w:rsidRPr="007E252C" w:rsidRDefault="007E252C" w:rsidP="00D019C2">
      <w:pPr>
        <w:spacing w:beforeLines="50" w:before="120" w:afterLines="50" w:after="120"/>
        <w:ind w:right="119"/>
        <w:rPr>
          <w:rFonts w:eastAsia="Times New Roman"/>
          <w:bCs/>
          <w:i/>
          <w:sz w:val="24"/>
        </w:rPr>
      </w:pPr>
      <w:r w:rsidRPr="007E252C">
        <w:rPr>
          <w:rFonts w:eastAsia="Times New Roman"/>
          <w:bCs/>
          <w:i/>
          <w:sz w:val="24"/>
        </w:rPr>
        <w:t xml:space="preserve">2.3 </w:t>
      </w:r>
      <w:r w:rsidR="00095EF9" w:rsidRPr="007E252C">
        <w:rPr>
          <w:rFonts w:eastAsia="Times New Roman"/>
          <w:bCs/>
          <w:i/>
          <w:sz w:val="24"/>
        </w:rPr>
        <w:t>Research Framework</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Based on the description above, it can be described the influence of service quality variables with dimensions of reliability, efficiency, security, responsiveness and web design towards customer satisfaction through a frame of mind in the following image.</w:t>
      </w:r>
    </w:p>
    <w:p w:rsidR="00095EF9" w:rsidRPr="00D019C2" w:rsidRDefault="00095EF9" w:rsidP="00D019C2">
      <w:pPr>
        <w:spacing w:beforeLines="50" w:before="120" w:afterLines="50" w:after="120"/>
        <w:ind w:left="-432" w:right="119" w:firstLine="426"/>
        <w:jc w:val="center"/>
        <w:rPr>
          <w:rFonts w:eastAsia="Times New Roman"/>
          <w:sz w:val="24"/>
        </w:rPr>
      </w:pPr>
      <w:r w:rsidRPr="00D019C2">
        <w:rPr>
          <w:rFonts w:eastAsia="Times New Roman"/>
          <w:noProof/>
          <w:sz w:val="24"/>
          <w:lang w:eastAsia="en-US"/>
        </w:rPr>
        <w:lastRenderedPageBreak/>
        <w:drawing>
          <wp:inline distT="0" distB="0" distL="0" distR="0" wp14:anchorId="2AC62A8F" wp14:editId="0F5B8239">
            <wp:extent cx="2438185" cy="2099945"/>
            <wp:effectExtent l="0" t="0" r="635"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4"/>
                    <a:stretch>
                      <a:fillRect/>
                    </a:stretch>
                  </pic:blipFill>
                  <pic:spPr>
                    <a:xfrm>
                      <a:off x="0" y="0"/>
                      <a:ext cx="2453852" cy="2113438"/>
                    </a:xfrm>
                    <a:prstGeom prst="rect">
                      <a:avLst/>
                    </a:prstGeom>
                  </pic:spPr>
                </pic:pic>
              </a:graphicData>
            </a:graphic>
          </wp:inline>
        </w:drawing>
      </w:r>
    </w:p>
    <w:p w:rsidR="00095EF9" w:rsidRPr="007E252C" w:rsidRDefault="00095EF9" w:rsidP="00D019C2">
      <w:pPr>
        <w:spacing w:beforeLines="50" w:before="120" w:afterLines="50" w:after="120"/>
        <w:ind w:left="-288" w:right="119" w:firstLine="426"/>
        <w:jc w:val="center"/>
        <w:rPr>
          <w:rFonts w:eastAsia="Times New Roman"/>
          <w:bCs/>
          <w:sz w:val="24"/>
        </w:rPr>
      </w:pPr>
      <w:r w:rsidRPr="007E252C">
        <w:rPr>
          <w:rFonts w:eastAsia="Times New Roman"/>
          <w:bCs/>
          <w:sz w:val="24"/>
        </w:rPr>
        <w:t xml:space="preserve">Figure 1. Research </w:t>
      </w:r>
      <w:r w:rsidR="007E252C" w:rsidRPr="007E252C">
        <w:rPr>
          <w:rFonts w:eastAsia="Times New Roman"/>
          <w:bCs/>
          <w:sz w:val="24"/>
        </w:rPr>
        <w:t>framework</w:t>
      </w:r>
    </w:p>
    <w:p w:rsidR="00A50080" w:rsidRPr="002832E3" w:rsidRDefault="00A50080" w:rsidP="00A50080">
      <w:pPr>
        <w:spacing w:beforeLines="50" w:before="120" w:afterLines="50" w:after="120"/>
        <w:outlineLvl w:val="0"/>
        <w:rPr>
          <w:b/>
          <w:iCs/>
          <w:sz w:val="24"/>
        </w:rPr>
      </w:pPr>
      <w:r>
        <w:rPr>
          <w:b/>
          <w:iCs/>
          <w:sz w:val="24"/>
        </w:rPr>
        <w:t xml:space="preserve">3. Research </w:t>
      </w:r>
      <w:r w:rsidRPr="002832E3">
        <w:rPr>
          <w:b/>
          <w:iCs/>
          <w:sz w:val="24"/>
        </w:rPr>
        <w:t>Method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type of data in this study is quantitative data. According to </w:t>
      </w:r>
      <w:r w:rsidRPr="00D019C2">
        <w:rPr>
          <w:rFonts w:eastAsia="Times New Roman"/>
          <w:sz w:val="24"/>
        </w:rPr>
        <w:fldChar w:fldCharType="begin" w:fldLock="1"/>
      </w:r>
      <w:r w:rsidRPr="00D019C2">
        <w:rPr>
          <w:rFonts w:eastAsia="Times New Roman"/>
          <w:sz w:val="24"/>
        </w:rPr>
        <w:instrText>ADDIN CSL_CITATION {"citationItems":[{"id":"ITEM-1","itemData":{"ISBN":"979-8433-64-0","author":[{"dropping-particle":"","family":"Sugiyono","given":"","non-dropping-particle":"","parse-names":false,"suffix":""}],"id":"ITEM-1","issued":{"date-parts":[["2019"]]},"number-of-pages":"332","publisher":"Alfabeta","publisher-place":"Bandung","title":"Metode Penelitian Kuantitatif, Kualitatif dan R&amp;D","type":"book"},"uris":["http://www.mendeley.com/documents/?uuid=59c2a8f1-c800-46c6-907f-20fe8c25daf9"]}],"mendeley":{"formattedCitation":"(Sugiyono, 2019)","plainTextFormattedCitation":"(Sugiyono, 2019)","previouslyFormattedCitation":"(Sugiyono,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(Sugiyono, 2019)</w:t>
      </w:r>
      <w:r w:rsidRPr="00D019C2">
        <w:rPr>
          <w:rFonts w:eastAsia="Times New Roman"/>
          <w:sz w:val="24"/>
        </w:rPr>
        <w:fldChar w:fldCharType="end"/>
      </w:r>
      <w:r w:rsidRPr="00D019C2">
        <w:rPr>
          <w:rFonts w:eastAsia="Times New Roman"/>
          <w:sz w:val="24"/>
        </w:rPr>
        <w:t>, quantitative data is a type of data that is numerical or numbers that can be analyzed using statistics with the aim of proving a predetermined hypothesis.</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population in this study is Pegadaian customers who use Pegadaian Digital services. Sampling technique using purposive sampling method, which selects samples by establishing specific characteristics that are in accordance with the purpose of the study. In determining the number of valid sample calculations, the sample size guideline depends on the number of indicators multiplied by 5 </w:t>
      </w:r>
      <w:r w:rsidRPr="00D019C2">
        <w:rPr>
          <w:rFonts w:eastAsia="Times New Roman"/>
          <w:sz w:val="24"/>
        </w:rPr>
        <w:fldChar w:fldCharType="begin" w:fldLock="1"/>
      </w:r>
      <w:r w:rsidRPr="00D019C2">
        <w:rPr>
          <w:rFonts w:eastAsia="Times New Roman"/>
          <w:sz w:val="24"/>
        </w:rPr>
        <w:instrText>ADDIN CSL_CITATION {"citationItems":[{"id":"ITEM-1","itemData":{"DOI":"10.1002/9781118895238.ch8","ISBN":"9781118895238","abstract":"This chapter introduces the concept of multivariate data analysis (MVDA) based on projection methods. It describes three multivariate techniques and illustrates how they may be used within quality by design (QbD) and process analytical technology (PAT). The data analytical methods are described as principal component analysis (PCA), partial least squares (PLS) and orthogonal partial least squares (OPLS multivariate software). The chapter provides a brief review on account of principal component analysis (PCA), which is followed by its application for raw material characterization based on particle size distribution measurements. It discusses and gives a position overview of how MVDA can facilitate and amplify applications like PAT, continued process verification (CPV) and QbD. The goal of PAT is to improve the understanding and control of the entire pharmaceutical and biopharmaceutical manufacturing process. One way of achieving this is through timely measurements of critical quality and performance attributes of raw and in-process materials and processes, combined with MVDA.","author":[{"dropping-particle":"","family":"Hair","given":"Joseph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E.","non-dropping-particle":"","parse-names":false,"suffix":""}],"container-title":"Pharmaceutical Quality by Design: A Practical Approach","edition":"Seventh Ed","id":"ITEM-1","issued":{"date-parts":[["2014"]]},"number-of-pages":"739","title":"Multivariate Data Analysis (MVDA)","type":"book"},"uris":["http://www.mendeley.com/documents/?uuid=d267bf96-e1fe-4fbc-b6d9-4942ef7f1329"]}],"mendeley":{"formattedCitation":"(Hair et al., 2014)","plainTextFormattedCitation":"(Hair et al., 2014)","previouslyFormattedCitation":"(Hair et al., 2014)"},"properties":{"noteIndex":0},"schema":"https://github.com/citation-style-language/schema/raw/master/csl-citation.json"}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(Hair et al., 2014)</w:t>
      </w:r>
      <w:r w:rsidRPr="00D019C2">
        <w:rPr>
          <w:rFonts w:eastAsia="Times New Roman"/>
          <w:sz w:val="24"/>
        </w:rPr>
        <w:fldChar w:fldCharType="end"/>
      </w:r>
      <w:r w:rsidRPr="00D019C2">
        <w:rPr>
          <w:rFonts w:eastAsia="Times New Roman"/>
          <w:sz w:val="24"/>
        </w:rPr>
        <w:t>. Based on the results of these calculations, the study took a sample number of 160 respondents.</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Data collection using questionnaire techniques, questionnaires are data collection techniques that are done by giving a set of questions/written statements to respondents to be answered and asked for responses </w:t>
      </w:r>
      <w:r w:rsidRPr="00D019C2">
        <w:rPr>
          <w:rFonts w:eastAsia="Times New Roman"/>
          <w:sz w:val="24"/>
        </w:rPr>
        <w:fldChar w:fldCharType="begin" w:fldLock="1"/>
      </w:r>
      <w:r w:rsidRPr="00D019C2">
        <w:rPr>
          <w:rFonts w:eastAsia="Times New Roman"/>
          <w:sz w:val="24"/>
        </w:rPr>
        <w:instrText>ADDIN CSL_CITATION {"citationItems":[{"id":"ITEM-1","itemData":{"ISBN":"979-8433-64-0","author":[{"dropping-particle":"","family":"Sugiyono","given":"","non-dropping-particle":"","parse-names":false,"suffix":""}],"id":"ITEM-1","issued":{"date-parts":[["2019"]]},"number-of-pages":"332","publisher":"Alfabeta","publisher-place":"Bandung","title":"Metode Penelitian Kuantitatif, Kualitatif dan R&amp;D","type":"book"},"uris":["http://www.mendeley.com/documents/?uuid=59c2a8f1-c800-46c6-907f-20fe8c25daf9"]}],"mendeley":{"formattedCitation":"(Sugiyono, 2019)","plainTextFormattedCitation":"(Sugiyono, 2019)","previouslyFormattedCitation":"(Sugiyono,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(Sugiyono, 2019)</w:t>
      </w:r>
      <w:r w:rsidRPr="00D019C2">
        <w:rPr>
          <w:rFonts w:eastAsia="Times New Roman"/>
          <w:sz w:val="24"/>
        </w:rPr>
        <w:fldChar w:fldCharType="end"/>
      </w:r>
      <w:r w:rsidRPr="00D019C2">
        <w:rPr>
          <w:rFonts w:eastAsia="Times New Roman"/>
          <w:sz w:val="24"/>
        </w:rPr>
        <w:t>. In this study, questionnaires were addressed to Pegadaian customers who use Pegadaian Digital services in Pondok Labu Branch and Unit Below in the form of google form accessed through barcode scans available in each Unit.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Descriptive analysis in this study used PLS output by looking at the mean (average), median (middle value), min (smallest value), and max (largest value) of each indicator item. Inferential statistics is a statistical technique for analyzing sample data and the results will be applied to the entire population </w:t>
      </w:r>
      <w:r w:rsidRPr="00D019C2">
        <w:rPr>
          <w:rFonts w:eastAsia="Times New Roman"/>
          <w:sz w:val="24"/>
        </w:rPr>
        <w:fldChar w:fldCharType="begin" w:fldLock="1"/>
      </w:r>
      <w:r w:rsidRPr="00D019C2">
        <w:rPr>
          <w:rFonts w:eastAsia="Times New Roman"/>
          <w:sz w:val="24"/>
        </w:rPr>
        <w:instrText>ADDIN CSL_CITATION {"citationItems":[{"id":"ITEM-1","itemData":{"ISBN":"979-8433-64-0","author":[{"dropping-particle":"","family":"Sugiyono","given":"","non-dropping-particle":"","parse-names":false,"suffix":""}],"id":"ITEM-1","issued":{"date-parts":[["2019"]]},"number-of-pages":"332","publisher":"Alfabeta","publisher-place":"Bandung","title":"Metode Penelitian Kuantitatif, Kualitatif dan R&amp;D","type":"book"},"uris":["http://www.mendeley.com/documents/?uuid=59c2a8f1-c800-46c6-907f-20fe8c25daf9"]}],"mendeley":{"formattedCitation":"(Sugiyono, 2019)","plainTextFormattedCitation":"(Sugiyono, 2019)","previouslyFormattedCitation":"(Sugiyono,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(Sugiyono, 2019)</w:t>
      </w:r>
      <w:r w:rsidRPr="00D019C2">
        <w:rPr>
          <w:rFonts w:eastAsia="Times New Roman"/>
          <w:sz w:val="24"/>
        </w:rPr>
        <w:fldChar w:fldCharType="end"/>
      </w:r>
      <w:r w:rsidRPr="00D019C2">
        <w:rPr>
          <w:rFonts w:eastAsia="Times New Roman"/>
          <w:sz w:val="24"/>
        </w:rPr>
        <w:t>. The study used non-parametric statistics because the type of data analyzed was on an interval scale.Data analysis techniques using the help of SmartPLS software version 3.0.</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first step of the PLS is the structural model (inner model) can explain the relationship between variables. In this study, the formulation of problems and hypotheses built on customer satisfaction variables (Y), service quality variables that have dimensions such as reliability (X1), efficiency (X2), security (X3), responsiveness (X4) and web design (X5). The second step is to design a measurement model (outer model), the characteristics of </w:t>
      </w:r>
      <w:r w:rsidRPr="00D019C2">
        <w:rPr>
          <w:rFonts w:eastAsia="Times New Roman"/>
          <w:sz w:val="24"/>
        </w:rPr>
        <w:lastRenderedPageBreak/>
        <w:t>indicators and dimensions used by these variables to form the basis of the formation of the measurement model plan. The third step is to arrange a path diagram, forming a path diagram as an overview of the results of outer model calculations and the inner model. The fourth step is the conversion of the path diagram to the equation system.</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Then the fifth step is the estimation of parameters. PLS estimation is a small box method through iteration. The sixth step is the evaluation of goodness of fit which consists of several tests, namely validity test, reliability test, and determinant test (R2). The last step is hypothesis testing (bootstrap resampling), hypothesis testing (</w:t>
      </w:r>
      <w:r w:rsidRPr="00D019C2">
        <w:rPr>
          <w:rFonts w:eastAsia="Times New Roman"/>
          <w:sz w:val="24"/>
        </w:rPr>
        <w:sym w:font="Symbol" w:char="F062"/>
      </w:r>
      <w:proofErr w:type="gramStart"/>
      <w:r w:rsidRPr="00D019C2">
        <w:rPr>
          <w:rFonts w:eastAsia="Times New Roman"/>
          <w:sz w:val="24"/>
        </w:rPr>
        <w:t xml:space="preserve">, </w:t>
      </w:r>
      <w:proofErr w:type="gramEnd"/>
      <w:r w:rsidRPr="00D019C2">
        <w:rPr>
          <w:rFonts w:eastAsia="Times New Roman"/>
          <w:sz w:val="24"/>
        </w:rPr>
        <w:sym w:font="Symbol" w:char="F067"/>
      </w:r>
      <w:r w:rsidRPr="00D019C2">
        <w:rPr>
          <w:rFonts w:eastAsia="Times New Roman"/>
          <w:sz w:val="24"/>
        </w:rPr>
        <w:t xml:space="preserve">, </w:t>
      </w:r>
      <w:r w:rsidRPr="00D019C2">
        <w:rPr>
          <w:rFonts w:eastAsia="Times New Roman"/>
          <w:sz w:val="24"/>
        </w:rPr>
        <w:sym w:font="Symbol" w:char="F06C"/>
      </w:r>
      <w:r w:rsidRPr="00D019C2">
        <w:rPr>
          <w:rFonts w:eastAsia="Times New Roman"/>
          <w:sz w:val="24"/>
        </w:rPr>
        <w:t>) on PLS is done using bootstrap resampling calculations. The test statistic used is the t statistic or t test.</w:t>
      </w:r>
    </w:p>
    <w:p w:rsidR="00A50080" w:rsidRPr="006545AC" w:rsidRDefault="00A50080" w:rsidP="00A50080">
      <w:pPr>
        <w:spacing w:beforeLines="50" w:before="120" w:afterLines="50" w:after="120"/>
        <w:rPr>
          <w:b/>
          <w:sz w:val="24"/>
        </w:rPr>
      </w:pPr>
      <w:r>
        <w:rPr>
          <w:b/>
          <w:sz w:val="24"/>
        </w:rPr>
        <w:t>4. Findings a</w:t>
      </w:r>
      <w:r w:rsidRPr="006545AC">
        <w:rPr>
          <w:b/>
          <w:sz w:val="24"/>
        </w:rPr>
        <w:t>nd Discussion</w:t>
      </w:r>
      <w:r>
        <w:rPr>
          <w:b/>
          <w:sz w:val="24"/>
        </w:rPr>
        <w:t>s</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The population in this study are Pegadaian customers who use Digital Pegadaian services. Questionnaires were distributed to 160 respondents who use Pegadaian Digital services at the Pondok Labu Branch Office and Units below. The identity of respondents who use Pegadaian Digital services can be seen in table 1.</w:t>
      </w:r>
    </w:p>
    <w:p w:rsidR="00095EF9" w:rsidRDefault="0097315B" w:rsidP="00A50080">
      <w:pPr>
        <w:spacing w:beforeLines="50" w:before="120" w:afterLines="50" w:after="120"/>
        <w:rPr>
          <w:sz w:val="24"/>
        </w:rPr>
      </w:pPr>
      <w:r w:rsidRPr="006156AB">
        <w:rPr>
          <w:sz w:val="24"/>
        </w:rPr>
        <w:t>Table 1</w:t>
      </w:r>
      <w:r w:rsidR="00A50080" w:rsidRPr="006156AB">
        <w:rPr>
          <w:sz w:val="24"/>
        </w:rPr>
        <w:t>.</w:t>
      </w:r>
      <w:r w:rsidR="00A50080">
        <w:rPr>
          <w:b/>
          <w:sz w:val="24"/>
        </w:rPr>
        <w:t xml:space="preserve"> </w:t>
      </w:r>
      <w:r w:rsidR="000200F9">
        <w:rPr>
          <w:sz w:val="24"/>
        </w:rPr>
        <w:t>Descriptive s</w:t>
      </w:r>
      <w:r w:rsidR="00A50080">
        <w:rPr>
          <w:sz w:val="24"/>
        </w:rPr>
        <w:t>tatistic</w:t>
      </w:r>
    </w:p>
    <w:tbl>
      <w:tblPr>
        <w:tblStyle w:val="LightShading"/>
        <w:tblW w:w="8397" w:type="dxa"/>
        <w:tblLayout w:type="fixed"/>
        <w:tblLook w:val="04A0" w:firstRow="1" w:lastRow="0" w:firstColumn="1" w:lastColumn="0" w:noHBand="0" w:noVBand="1"/>
      </w:tblPr>
      <w:tblGrid>
        <w:gridCol w:w="1983"/>
        <w:gridCol w:w="3579"/>
        <w:gridCol w:w="1418"/>
        <w:gridCol w:w="1417"/>
      </w:tblGrid>
      <w:tr w:rsidR="006156AB" w:rsidRPr="006156AB" w:rsidTr="002B5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3" w:type="dxa"/>
            <w:shd w:val="clear" w:color="auto" w:fill="auto"/>
            <w:vAlign w:val="center"/>
          </w:tcPr>
          <w:p w:rsidR="006156AB" w:rsidRPr="006156AB" w:rsidRDefault="006156AB" w:rsidP="002B5E91">
            <w:pPr>
              <w:spacing w:beforeLines="50" w:before="120" w:afterLines="50" w:after="120"/>
              <w:rPr>
                <w:rFonts w:ascii="Times New Roman" w:hAnsi="Times New Roman" w:cs="Times New Roman"/>
                <w:b w:val="0"/>
                <w:sz w:val="24"/>
              </w:rPr>
            </w:pPr>
            <w:r w:rsidRPr="006156AB">
              <w:rPr>
                <w:rFonts w:ascii="Times New Roman" w:hAnsi="Times New Roman" w:cs="Times New Roman"/>
                <w:b w:val="0"/>
                <w:sz w:val="24"/>
              </w:rPr>
              <w:t>Demographics</w:t>
            </w:r>
          </w:p>
        </w:tc>
        <w:tc>
          <w:tcPr>
            <w:tcW w:w="3579" w:type="dxa"/>
            <w:shd w:val="clear" w:color="auto" w:fill="auto"/>
            <w:vAlign w:val="center"/>
          </w:tcPr>
          <w:p w:rsidR="006156AB" w:rsidRPr="006156AB" w:rsidRDefault="006156AB" w:rsidP="002B5E91">
            <w:pPr>
              <w:spacing w:beforeLines="50" w:before="120" w:afterLines="5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Category</w:t>
            </w:r>
          </w:p>
        </w:tc>
        <w:tc>
          <w:tcPr>
            <w:tcW w:w="1418" w:type="dxa"/>
            <w:shd w:val="clear" w:color="auto" w:fill="auto"/>
            <w:vAlign w:val="center"/>
          </w:tcPr>
          <w:p w:rsidR="006156AB" w:rsidRPr="006156AB" w:rsidRDefault="006156AB" w:rsidP="002B5E91">
            <w:pPr>
              <w:spacing w:beforeLines="50" w:before="120" w:afterLines="50" w:after="12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Frequency</w:t>
            </w:r>
          </w:p>
        </w:tc>
        <w:tc>
          <w:tcPr>
            <w:tcW w:w="1417" w:type="dxa"/>
            <w:shd w:val="clear" w:color="auto" w:fill="auto"/>
            <w:vAlign w:val="center"/>
          </w:tcPr>
          <w:p w:rsidR="006156AB" w:rsidRPr="006156AB" w:rsidRDefault="006156AB" w:rsidP="002B5E91">
            <w:pPr>
              <w:spacing w:beforeLines="50" w:before="120" w:afterLines="50" w:after="12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Percentage</w:t>
            </w:r>
          </w:p>
        </w:tc>
      </w:tr>
      <w:tr w:rsidR="006156AB" w:rsidRPr="00D019C2" w:rsidTr="002B5E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3" w:type="dxa"/>
            <w:tcBorders>
              <w:top w:val="single" w:sz="8" w:space="0" w:color="000000" w:themeColor="text1"/>
              <w:bottom w:val="single" w:sz="4" w:space="0" w:color="auto"/>
            </w:tcBorders>
            <w:shd w:val="clear" w:color="auto" w:fill="auto"/>
          </w:tcPr>
          <w:p w:rsidR="006156AB" w:rsidRPr="00D019C2" w:rsidRDefault="006156AB" w:rsidP="002B5E91">
            <w:pPr>
              <w:spacing w:beforeLines="50" w:before="120" w:afterLines="50" w:after="120"/>
              <w:rPr>
                <w:rFonts w:ascii="Times New Roman" w:hAnsi="Times New Roman" w:cs="Times New Roman"/>
                <w:b w:val="0"/>
                <w:sz w:val="24"/>
              </w:rPr>
            </w:pPr>
            <w:r w:rsidRPr="00D019C2">
              <w:rPr>
                <w:rFonts w:ascii="Times New Roman" w:hAnsi="Times New Roman" w:cs="Times New Roman"/>
                <w:b w:val="0"/>
                <w:sz w:val="24"/>
              </w:rPr>
              <w:t>Gender</w:t>
            </w:r>
          </w:p>
        </w:tc>
        <w:tc>
          <w:tcPr>
            <w:tcW w:w="3579" w:type="dxa"/>
            <w:tcBorders>
              <w:top w:val="single" w:sz="8" w:space="0" w:color="000000" w:themeColor="text1"/>
              <w:bottom w:val="single" w:sz="4" w:space="0" w:color="auto"/>
            </w:tcBorders>
            <w:shd w:val="clear" w:color="auto" w:fill="auto"/>
            <w:vAlign w:val="center"/>
          </w:tcPr>
          <w:p w:rsidR="006156AB" w:rsidRPr="00D019C2" w:rsidRDefault="006156AB" w:rsidP="002B5E91">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Male</w:t>
            </w:r>
          </w:p>
          <w:p w:rsidR="006156AB" w:rsidRPr="00D019C2" w:rsidRDefault="006156AB" w:rsidP="002B5E91">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Female</w:t>
            </w:r>
          </w:p>
        </w:tc>
        <w:tc>
          <w:tcPr>
            <w:tcW w:w="1418" w:type="dxa"/>
            <w:tcBorders>
              <w:top w:val="single" w:sz="8" w:space="0" w:color="000000" w:themeColor="text1"/>
              <w:bottom w:val="single" w:sz="4" w:space="0" w:color="auto"/>
            </w:tcBorders>
            <w:shd w:val="clear" w:color="auto" w:fill="auto"/>
          </w:tcPr>
          <w:p w:rsidR="006156AB" w:rsidRPr="00D019C2" w:rsidRDefault="006156AB" w:rsidP="002B5E91">
            <w:pPr>
              <w:spacing w:beforeLines="50" w:before="120" w:afterLines="50" w:after="120"/>
              <w:ind w:left="881" w:hanging="88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74</w:t>
            </w:r>
          </w:p>
          <w:p w:rsidR="006156AB" w:rsidRPr="00D019C2" w:rsidRDefault="006156AB" w:rsidP="002B5E91">
            <w:pPr>
              <w:spacing w:beforeLines="50" w:before="120" w:afterLines="50" w:after="120"/>
              <w:ind w:left="881" w:hanging="88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86</w:t>
            </w:r>
          </w:p>
        </w:tc>
        <w:tc>
          <w:tcPr>
            <w:tcW w:w="1417" w:type="dxa"/>
            <w:tcBorders>
              <w:top w:val="single" w:sz="8" w:space="0" w:color="000000" w:themeColor="text1"/>
              <w:bottom w:val="single" w:sz="4" w:space="0" w:color="auto"/>
            </w:tcBorders>
            <w:shd w:val="clear" w:color="auto" w:fill="auto"/>
          </w:tcPr>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46%</w:t>
            </w:r>
          </w:p>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54%</w:t>
            </w:r>
          </w:p>
        </w:tc>
      </w:tr>
      <w:tr w:rsidR="006156AB" w:rsidRPr="00D019C2" w:rsidTr="002B5E91">
        <w:tc>
          <w:tcPr>
            <w:cnfStyle w:val="001000000000" w:firstRow="0" w:lastRow="0" w:firstColumn="1" w:lastColumn="0" w:oddVBand="0" w:evenVBand="0" w:oddHBand="0" w:evenHBand="0" w:firstRowFirstColumn="0" w:firstRowLastColumn="0" w:lastRowFirstColumn="0" w:lastRowLastColumn="0"/>
            <w:tcW w:w="1983"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rPr>
                <w:rFonts w:ascii="Times New Roman" w:hAnsi="Times New Roman" w:cs="Times New Roman"/>
                <w:b w:val="0"/>
                <w:sz w:val="24"/>
              </w:rPr>
            </w:pPr>
            <w:r w:rsidRPr="00D019C2">
              <w:rPr>
                <w:rFonts w:ascii="Times New Roman" w:hAnsi="Times New Roman" w:cs="Times New Roman"/>
                <w:b w:val="0"/>
                <w:sz w:val="24"/>
              </w:rPr>
              <w:t>Age</w:t>
            </w:r>
          </w:p>
        </w:tc>
        <w:tc>
          <w:tcPr>
            <w:tcW w:w="3579" w:type="dxa"/>
            <w:tcBorders>
              <w:top w:val="single" w:sz="4" w:space="0" w:color="auto"/>
              <w:bottom w:val="single" w:sz="4" w:space="0" w:color="auto"/>
            </w:tcBorders>
            <w:shd w:val="clear" w:color="auto" w:fill="auto"/>
            <w:vAlign w:val="center"/>
          </w:tcPr>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Under 20 years</w:t>
            </w:r>
          </w:p>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20-30 years</w:t>
            </w:r>
          </w:p>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30-40 years</w:t>
            </w:r>
          </w:p>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40-50 years</w:t>
            </w:r>
          </w:p>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 xml:space="preserve">50 years and above                     </w:t>
            </w:r>
          </w:p>
        </w:tc>
        <w:tc>
          <w:tcPr>
            <w:tcW w:w="1418"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88</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56</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11</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3</w:t>
            </w:r>
          </w:p>
        </w:tc>
        <w:tc>
          <w:tcPr>
            <w:tcW w:w="1417"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55%</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35%</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7%</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w:t>
            </w:r>
          </w:p>
        </w:tc>
      </w:tr>
      <w:tr w:rsidR="006156AB" w:rsidRPr="00D019C2" w:rsidTr="002B5E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3"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rPr>
                <w:rFonts w:ascii="Times New Roman" w:hAnsi="Times New Roman" w:cs="Times New Roman"/>
                <w:bCs w:val="0"/>
                <w:sz w:val="24"/>
              </w:rPr>
            </w:pPr>
            <w:r w:rsidRPr="00D019C2">
              <w:rPr>
                <w:rFonts w:ascii="Times New Roman" w:hAnsi="Times New Roman" w:cs="Times New Roman"/>
                <w:b w:val="0"/>
                <w:sz w:val="24"/>
              </w:rPr>
              <w:t>Domicile</w:t>
            </w:r>
          </w:p>
          <w:p w:rsidR="006156AB" w:rsidRPr="00D019C2" w:rsidRDefault="006156AB" w:rsidP="002B5E91">
            <w:pPr>
              <w:spacing w:beforeLines="50" w:before="120" w:afterLines="50" w:after="120"/>
              <w:rPr>
                <w:rFonts w:ascii="Times New Roman" w:hAnsi="Times New Roman" w:cs="Times New Roman"/>
                <w:b w:val="0"/>
                <w:sz w:val="24"/>
              </w:rPr>
            </w:pPr>
            <w:r w:rsidRPr="00D019C2">
              <w:rPr>
                <w:rFonts w:ascii="Times New Roman" w:hAnsi="Times New Roman" w:cs="Times New Roman"/>
                <w:b w:val="0"/>
                <w:sz w:val="24"/>
              </w:rPr>
              <w:t>Address</w:t>
            </w:r>
          </w:p>
        </w:tc>
        <w:tc>
          <w:tcPr>
            <w:tcW w:w="3579" w:type="dxa"/>
            <w:tcBorders>
              <w:top w:val="single" w:sz="4" w:space="0" w:color="auto"/>
              <w:bottom w:val="single" w:sz="4" w:space="0" w:color="auto"/>
            </w:tcBorders>
            <w:shd w:val="clear" w:color="auto" w:fill="auto"/>
            <w:vAlign w:val="center"/>
          </w:tcPr>
          <w:p w:rsidR="006156AB" w:rsidRPr="00D019C2" w:rsidRDefault="006156AB" w:rsidP="002B5E91">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Jakarta</w:t>
            </w:r>
          </w:p>
          <w:p w:rsidR="006156AB" w:rsidRPr="00D019C2" w:rsidRDefault="006156AB" w:rsidP="002B5E91">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Depok</w:t>
            </w:r>
          </w:p>
          <w:p w:rsidR="006156AB" w:rsidRPr="00D019C2" w:rsidRDefault="006156AB" w:rsidP="002B5E91">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South Tanggerang</w:t>
            </w:r>
          </w:p>
          <w:p w:rsidR="006156AB" w:rsidRPr="00D019C2" w:rsidRDefault="006156AB" w:rsidP="002B5E91">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Other</w:t>
            </w:r>
          </w:p>
        </w:tc>
        <w:tc>
          <w:tcPr>
            <w:tcW w:w="1418"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96</w:t>
            </w:r>
          </w:p>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46</w:t>
            </w:r>
          </w:p>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13</w:t>
            </w:r>
          </w:p>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5</w:t>
            </w:r>
          </w:p>
        </w:tc>
        <w:tc>
          <w:tcPr>
            <w:tcW w:w="1417"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60%</w:t>
            </w:r>
          </w:p>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29%</w:t>
            </w:r>
          </w:p>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8%</w:t>
            </w:r>
          </w:p>
          <w:p w:rsidR="006156AB" w:rsidRPr="00D019C2" w:rsidRDefault="006156AB" w:rsidP="002B5E91">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3%</w:t>
            </w:r>
          </w:p>
        </w:tc>
      </w:tr>
      <w:tr w:rsidR="006156AB" w:rsidRPr="00D019C2" w:rsidTr="002B5E91">
        <w:tc>
          <w:tcPr>
            <w:cnfStyle w:val="001000000000" w:firstRow="0" w:lastRow="0" w:firstColumn="1" w:lastColumn="0" w:oddVBand="0" w:evenVBand="0" w:oddHBand="0" w:evenHBand="0" w:firstRowFirstColumn="0" w:firstRowLastColumn="0" w:lastRowFirstColumn="0" w:lastRowLastColumn="0"/>
            <w:tcW w:w="1983"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rPr>
                <w:rFonts w:ascii="Times New Roman" w:hAnsi="Times New Roman" w:cs="Times New Roman"/>
                <w:b w:val="0"/>
                <w:sz w:val="24"/>
              </w:rPr>
            </w:pPr>
            <w:r w:rsidRPr="00D019C2">
              <w:rPr>
                <w:rFonts w:ascii="Times New Roman" w:hAnsi="Times New Roman" w:cs="Times New Roman"/>
                <w:b w:val="0"/>
                <w:sz w:val="24"/>
              </w:rPr>
              <w:t>Education</w:t>
            </w:r>
          </w:p>
        </w:tc>
        <w:tc>
          <w:tcPr>
            <w:tcW w:w="3579" w:type="dxa"/>
            <w:tcBorders>
              <w:top w:val="single" w:sz="4" w:space="0" w:color="auto"/>
              <w:bottom w:val="single" w:sz="4" w:space="0" w:color="auto"/>
            </w:tcBorders>
            <w:shd w:val="clear" w:color="auto" w:fill="auto"/>
            <w:vAlign w:val="center"/>
          </w:tcPr>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Senior High School</w:t>
            </w:r>
          </w:p>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Associate Degree</w:t>
            </w:r>
          </w:p>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Bachelor</w:t>
            </w:r>
          </w:p>
          <w:p w:rsidR="006156AB" w:rsidRPr="00D019C2" w:rsidRDefault="006156AB" w:rsidP="002B5E91">
            <w:pPr>
              <w:spacing w:beforeLines="50" w:before="120" w:afterLines="5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Master and above</w:t>
            </w:r>
          </w:p>
        </w:tc>
        <w:tc>
          <w:tcPr>
            <w:tcW w:w="1418"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42</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16</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94</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8</w:t>
            </w:r>
          </w:p>
        </w:tc>
        <w:tc>
          <w:tcPr>
            <w:tcW w:w="1417" w:type="dxa"/>
            <w:tcBorders>
              <w:top w:val="single" w:sz="4" w:space="0" w:color="auto"/>
              <w:bottom w:val="single" w:sz="4" w:space="0" w:color="auto"/>
            </w:tcBorders>
            <w:shd w:val="clear" w:color="auto" w:fill="auto"/>
          </w:tcPr>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26%</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10%</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59%</w:t>
            </w:r>
          </w:p>
          <w:p w:rsidR="006156AB" w:rsidRPr="00D019C2" w:rsidRDefault="006156AB" w:rsidP="002B5E91">
            <w:pPr>
              <w:spacing w:beforeLines="50" w:before="120" w:afterLines="50" w:after="12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5%</w:t>
            </w:r>
          </w:p>
        </w:tc>
      </w:tr>
    </w:tbl>
    <w:p w:rsidR="006156AB" w:rsidRPr="0097315B" w:rsidRDefault="006156AB" w:rsidP="00A50080">
      <w:pPr>
        <w:spacing w:beforeLines="50" w:before="120" w:afterLines="50" w:after="120"/>
        <w:rPr>
          <w:b/>
          <w:sz w:val="24"/>
        </w:rPr>
        <w:sectPr w:rsidR="006156AB" w:rsidRPr="0097315B" w:rsidSect="00140FBD">
          <w:pgSz w:w="12240" w:h="15840"/>
          <w:pgMar w:top="1701" w:right="1701" w:bottom="1701" w:left="1701" w:header="720" w:footer="720" w:gutter="0"/>
          <w:pgNumType w:start="212"/>
          <w:cols w:space="332"/>
          <w:docGrid w:linePitch="360"/>
        </w:sectPr>
      </w:pPr>
    </w:p>
    <w:p w:rsidR="00095EF9" w:rsidRPr="00D019C2" w:rsidRDefault="00095EF9" w:rsidP="00A50080">
      <w:pPr>
        <w:spacing w:beforeLines="50" w:before="120" w:afterLines="50" w:after="120"/>
        <w:rPr>
          <w:b/>
          <w:bCs/>
          <w:sz w:val="24"/>
        </w:rPr>
        <w:sectPr w:rsidR="00095EF9" w:rsidRPr="00D019C2" w:rsidSect="00095EF9">
          <w:type w:val="continuous"/>
          <w:pgSz w:w="12240" w:h="15840"/>
          <w:pgMar w:top="1701" w:right="1701" w:bottom="1701" w:left="1701" w:header="720" w:footer="720" w:gutter="0"/>
          <w:cols w:space="332"/>
          <w:docGrid w:linePitch="360"/>
        </w:sectPr>
      </w:pPr>
    </w:p>
    <w:tbl>
      <w:tblPr>
        <w:tblStyle w:val="LightShading"/>
        <w:tblpPr w:leftFromText="180" w:rightFromText="180" w:vertAnchor="text" w:horzAnchor="margin" w:tblpY="-215"/>
        <w:tblW w:w="8397" w:type="dxa"/>
        <w:tblLayout w:type="fixed"/>
        <w:tblLook w:val="04A0" w:firstRow="1" w:lastRow="0" w:firstColumn="1" w:lastColumn="0" w:noHBand="0" w:noVBand="1"/>
      </w:tblPr>
      <w:tblGrid>
        <w:gridCol w:w="1983"/>
        <w:gridCol w:w="3579"/>
        <w:gridCol w:w="1418"/>
        <w:gridCol w:w="1417"/>
      </w:tblGrid>
      <w:tr w:rsidR="00620A6E" w:rsidRPr="00D019C2" w:rsidTr="00620A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3" w:type="dxa"/>
            <w:tcBorders>
              <w:top w:val="single" w:sz="4" w:space="0" w:color="auto"/>
              <w:bottom w:val="single" w:sz="4" w:space="0" w:color="auto"/>
            </w:tcBorders>
            <w:shd w:val="clear" w:color="auto" w:fill="auto"/>
          </w:tcPr>
          <w:p w:rsidR="00620A6E" w:rsidRPr="00D019C2" w:rsidRDefault="00620A6E" w:rsidP="00620A6E">
            <w:pPr>
              <w:spacing w:beforeLines="50" w:before="120" w:afterLines="50" w:after="120"/>
              <w:rPr>
                <w:rFonts w:ascii="Times New Roman" w:hAnsi="Times New Roman" w:cs="Times New Roman"/>
                <w:b w:val="0"/>
                <w:sz w:val="24"/>
              </w:rPr>
            </w:pPr>
            <w:r w:rsidRPr="00D019C2">
              <w:rPr>
                <w:rFonts w:ascii="Times New Roman" w:hAnsi="Times New Roman" w:cs="Times New Roman"/>
                <w:b w:val="0"/>
                <w:sz w:val="24"/>
              </w:rPr>
              <w:lastRenderedPageBreak/>
              <w:t>Profession</w:t>
            </w:r>
          </w:p>
        </w:tc>
        <w:tc>
          <w:tcPr>
            <w:tcW w:w="3579" w:type="dxa"/>
            <w:tcBorders>
              <w:top w:val="single" w:sz="4" w:space="0" w:color="auto"/>
              <w:bottom w:val="single" w:sz="4" w:space="0" w:color="auto"/>
            </w:tcBorders>
            <w:shd w:val="clear" w:color="auto" w:fill="auto"/>
            <w:vAlign w:val="center"/>
          </w:tcPr>
          <w:p w:rsidR="00620A6E" w:rsidRPr="006156AB" w:rsidRDefault="00620A6E" w:rsidP="00620A6E">
            <w:pPr>
              <w:spacing w:beforeLines="50" w:before="120" w:afterLines="5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Government employees</w:t>
            </w:r>
          </w:p>
          <w:p w:rsidR="00620A6E" w:rsidRPr="006156AB" w:rsidRDefault="00620A6E" w:rsidP="00620A6E">
            <w:pPr>
              <w:spacing w:beforeLines="50" w:before="120" w:afterLines="5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Privat employees</w:t>
            </w:r>
          </w:p>
          <w:p w:rsidR="00620A6E" w:rsidRPr="006156AB" w:rsidRDefault="00620A6E" w:rsidP="00620A6E">
            <w:pPr>
              <w:spacing w:beforeLines="50" w:before="120" w:afterLines="5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Housewife</w:t>
            </w:r>
          </w:p>
          <w:p w:rsidR="00620A6E" w:rsidRPr="006156AB" w:rsidRDefault="00620A6E" w:rsidP="00620A6E">
            <w:pPr>
              <w:spacing w:beforeLines="50" w:before="120" w:afterLines="5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Student</w:t>
            </w:r>
          </w:p>
          <w:p w:rsidR="00620A6E" w:rsidRPr="006156AB" w:rsidRDefault="00620A6E" w:rsidP="00620A6E">
            <w:pPr>
              <w:spacing w:beforeLines="50" w:before="120" w:afterLines="5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Other</w:t>
            </w:r>
          </w:p>
        </w:tc>
        <w:tc>
          <w:tcPr>
            <w:tcW w:w="1418" w:type="dxa"/>
            <w:tcBorders>
              <w:top w:val="single" w:sz="4" w:space="0" w:color="auto"/>
              <w:bottom w:val="single" w:sz="4" w:space="0" w:color="auto"/>
            </w:tcBorders>
            <w:shd w:val="clear" w:color="auto" w:fill="auto"/>
          </w:tcPr>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16</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62</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8</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26</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48</w:t>
            </w:r>
          </w:p>
        </w:tc>
        <w:tc>
          <w:tcPr>
            <w:tcW w:w="1417" w:type="dxa"/>
            <w:tcBorders>
              <w:top w:val="single" w:sz="4" w:space="0" w:color="auto"/>
              <w:bottom w:val="single" w:sz="4" w:space="0" w:color="auto"/>
            </w:tcBorders>
            <w:shd w:val="clear" w:color="auto" w:fill="auto"/>
          </w:tcPr>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10%</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39%</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5%</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16%</w:t>
            </w:r>
          </w:p>
          <w:p w:rsidR="00620A6E" w:rsidRPr="006156AB" w:rsidRDefault="00620A6E" w:rsidP="00620A6E">
            <w:pPr>
              <w:spacing w:beforeLines="50" w:before="120" w:afterLines="50"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6156AB">
              <w:rPr>
                <w:rFonts w:ascii="Times New Roman" w:hAnsi="Times New Roman" w:cs="Times New Roman"/>
                <w:b w:val="0"/>
                <w:sz w:val="24"/>
              </w:rPr>
              <w:t>30%</w:t>
            </w:r>
          </w:p>
        </w:tc>
      </w:tr>
      <w:tr w:rsidR="00620A6E" w:rsidRPr="00D019C2" w:rsidTr="00620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3" w:type="dxa"/>
            <w:tcBorders>
              <w:top w:val="single" w:sz="4" w:space="0" w:color="auto"/>
              <w:bottom w:val="single" w:sz="4" w:space="0" w:color="auto"/>
            </w:tcBorders>
            <w:shd w:val="clear" w:color="auto" w:fill="auto"/>
          </w:tcPr>
          <w:p w:rsidR="00620A6E" w:rsidRPr="00D019C2" w:rsidRDefault="00620A6E" w:rsidP="00620A6E">
            <w:pPr>
              <w:spacing w:beforeLines="50" w:before="120" w:afterLines="50" w:after="120"/>
              <w:rPr>
                <w:rFonts w:ascii="Times New Roman" w:hAnsi="Times New Roman" w:cs="Times New Roman"/>
                <w:b w:val="0"/>
                <w:sz w:val="24"/>
              </w:rPr>
            </w:pPr>
            <w:r w:rsidRPr="00D019C2">
              <w:rPr>
                <w:rFonts w:ascii="Times New Roman" w:hAnsi="Times New Roman" w:cs="Times New Roman"/>
                <w:b w:val="0"/>
                <w:sz w:val="24"/>
              </w:rPr>
              <w:t>Monthly</w:t>
            </w:r>
          </w:p>
          <w:p w:rsidR="00620A6E" w:rsidRPr="00D019C2" w:rsidRDefault="00620A6E" w:rsidP="00620A6E">
            <w:pPr>
              <w:spacing w:beforeLines="50" w:before="120" w:afterLines="50" w:after="120"/>
              <w:rPr>
                <w:rFonts w:ascii="Times New Roman" w:hAnsi="Times New Roman" w:cs="Times New Roman"/>
                <w:bCs w:val="0"/>
                <w:sz w:val="24"/>
              </w:rPr>
            </w:pPr>
            <w:r w:rsidRPr="00D019C2">
              <w:rPr>
                <w:rFonts w:ascii="Times New Roman" w:hAnsi="Times New Roman" w:cs="Times New Roman"/>
                <w:b w:val="0"/>
                <w:sz w:val="24"/>
              </w:rPr>
              <w:t>Expenses</w:t>
            </w:r>
          </w:p>
        </w:tc>
        <w:tc>
          <w:tcPr>
            <w:tcW w:w="3579" w:type="dxa"/>
            <w:tcBorders>
              <w:top w:val="single" w:sz="4" w:space="0" w:color="auto"/>
              <w:bottom w:val="single" w:sz="4" w:space="0" w:color="auto"/>
            </w:tcBorders>
            <w:shd w:val="clear" w:color="auto" w:fill="auto"/>
            <w:vAlign w:val="center"/>
          </w:tcPr>
          <w:p w:rsidR="00620A6E" w:rsidRPr="00D019C2" w:rsidRDefault="00620A6E" w:rsidP="00620A6E">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IDR 1.000.000 – IDR 2.000.000</w:t>
            </w:r>
          </w:p>
          <w:p w:rsidR="00620A6E" w:rsidRPr="00D019C2" w:rsidRDefault="00620A6E" w:rsidP="00620A6E">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IDR 2.000.000 – IDR 3.000.000</w:t>
            </w:r>
          </w:p>
          <w:p w:rsidR="00620A6E" w:rsidRPr="00D019C2" w:rsidRDefault="00620A6E" w:rsidP="00620A6E">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IDR 3.000.000 – IDR 4.000.000</w:t>
            </w:r>
          </w:p>
          <w:p w:rsidR="00620A6E" w:rsidRPr="00D019C2" w:rsidRDefault="00620A6E" w:rsidP="00620A6E">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IDR 4.000.000 – IDR 5.000.000</w:t>
            </w:r>
          </w:p>
          <w:p w:rsidR="00620A6E" w:rsidRPr="00D019C2" w:rsidRDefault="00620A6E" w:rsidP="00620A6E">
            <w:pPr>
              <w:spacing w:beforeLines="50" w:before="120" w:afterLines="5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More than IDR 5.000.000</w:t>
            </w:r>
          </w:p>
        </w:tc>
        <w:tc>
          <w:tcPr>
            <w:tcW w:w="1418" w:type="dxa"/>
            <w:tcBorders>
              <w:top w:val="single" w:sz="4" w:space="0" w:color="auto"/>
              <w:bottom w:val="single" w:sz="4" w:space="0" w:color="auto"/>
            </w:tcBorders>
            <w:shd w:val="clear" w:color="auto" w:fill="auto"/>
          </w:tcPr>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19</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38</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22</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34</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47</w:t>
            </w:r>
          </w:p>
        </w:tc>
        <w:tc>
          <w:tcPr>
            <w:tcW w:w="1417" w:type="dxa"/>
            <w:tcBorders>
              <w:top w:val="single" w:sz="4" w:space="0" w:color="auto"/>
              <w:bottom w:val="single" w:sz="4" w:space="0" w:color="auto"/>
            </w:tcBorders>
            <w:shd w:val="clear" w:color="auto" w:fill="auto"/>
          </w:tcPr>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12%</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24%</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14%</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21%</w:t>
            </w:r>
          </w:p>
          <w:p w:rsidR="00620A6E" w:rsidRPr="00D019C2" w:rsidRDefault="00620A6E" w:rsidP="00620A6E">
            <w:pPr>
              <w:spacing w:beforeLines="50" w:before="120" w:afterLines="50" w:after="12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19C2">
              <w:rPr>
                <w:rFonts w:ascii="Times New Roman" w:hAnsi="Times New Roman" w:cs="Times New Roman"/>
                <w:sz w:val="24"/>
              </w:rPr>
              <w:t>29%</w:t>
            </w:r>
          </w:p>
        </w:tc>
      </w:tr>
    </w:tbl>
    <w:p w:rsidR="00620A6E" w:rsidRDefault="00620A6E" w:rsidP="00D019C2">
      <w:pPr>
        <w:spacing w:beforeLines="50" w:before="120" w:afterLines="50" w:after="120"/>
        <w:rPr>
          <w:bCs/>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620A6E" w:rsidRPr="00620A6E" w:rsidRDefault="00620A6E" w:rsidP="00620A6E">
      <w:pPr>
        <w:rPr>
          <w:sz w:val="24"/>
        </w:rPr>
      </w:pPr>
    </w:p>
    <w:p w:rsidR="00095EF9" w:rsidRPr="00D019C2" w:rsidRDefault="00620A6E" w:rsidP="00576737">
      <w:pPr>
        <w:spacing w:beforeLines="50" w:before="120" w:afterLines="50" w:after="120"/>
        <w:ind w:right="119"/>
        <w:rPr>
          <w:b/>
          <w:sz w:val="24"/>
        </w:rPr>
      </w:pPr>
      <w:r>
        <w:rPr>
          <w:rFonts w:eastAsia="Times New Roman"/>
          <w:sz w:val="24"/>
        </w:rPr>
        <w:t>B</w:t>
      </w:r>
      <w:r w:rsidR="000200F9" w:rsidRPr="00D019C2">
        <w:rPr>
          <w:rFonts w:eastAsia="Times New Roman"/>
          <w:sz w:val="24"/>
        </w:rPr>
        <w:t>ase</w:t>
      </w:r>
      <w:r w:rsidR="00576737">
        <w:rPr>
          <w:rFonts w:eastAsia="Times New Roman"/>
          <w:sz w:val="24"/>
        </w:rPr>
        <w:t>d</w:t>
      </w:r>
      <w:r w:rsidR="000200F9" w:rsidRPr="00D019C2">
        <w:rPr>
          <w:rFonts w:eastAsia="Times New Roman"/>
          <w:sz w:val="24"/>
        </w:rPr>
        <w:t xml:space="preserve"> on table 1, the sample is normally distributed with 54% female respondents and 46% male respondents based on the sample.  </w:t>
      </w:r>
      <w:r w:rsidR="000200F9">
        <w:rPr>
          <w:rFonts w:eastAsia="Times New Roman"/>
          <w:sz w:val="24"/>
        </w:rPr>
        <w:t>The majority of r</w:t>
      </w:r>
      <w:r w:rsidR="00095EF9" w:rsidRPr="00D019C2">
        <w:rPr>
          <w:rFonts w:eastAsia="Times New Roman"/>
          <w:sz w:val="24"/>
        </w:rPr>
        <w:t>espondents are still relatively young with 55% aged between 20-30 years. Most of the respondents are those who live in the city of Jakarta, with a percentage of 60% of the sample. The education level of the majority of respondents is that they have a bachelor's degree, which is 59% of the sample. Most of the respondents are those who work in the private sector with a percentage of 39% of the total sample. Regarding monthly expenses, most of the respondents (29%) claimed to have spent more than 5 million rupiah in one month.</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Briefly respondents of Pegadaian Digital service users in Pegadaian Pondok Labu Branch are women aged 20-30 years, domiciled in Jakarta, Bachelor education, working in the private sector and has a monthly expenditure of more than 5 million rupiah.</w:t>
      </w:r>
    </w:p>
    <w:p w:rsidR="00095EF9" w:rsidRPr="00A50080" w:rsidRDefault="00A50080" w:rsidP="00D019C2">
      <w:pPr>
        <w:spacing w:beforeLines="50" w:before="120" w:afterLines="50" w:after="120"/>
        <w:ind w:right="119"/>
        <w:rPr>
          <w:rFonts w:eastAsia="Times New Roman"/>
          <w:bCs/>
          <w:i/>
          <w:iCs/>
          <w:sz w:val="24"/>
        </w:rPr>
      </w:pPr>
      <w:r>
        <w:rPr>
          <w:rFonts w:eastAsia="Times New Roman"/>
          <w:bCs/>
          <w:i/>
          <w:iCs/>
          <w:sz w:val="24"/>
        </w:rPr>
        <w:t xml:space="preserve">4.1 </w:t>
      </w:r>
      <w:r w:rsidR="00095EF9" w:rsidRPr="00A50080">
        <w:rPr>
          <w:rFonts w:eastAsia="Times New Roman"/>
          <w:bCs/>
          <w:i/>
          <w:iCs/>
          <w:sz w:val="24"/>
        </w:rPr>
        <w:t>Validity and Reliability Test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next step is to assess the relationship between the indicator and latent construction in terms of validity and reliability. Aspects of validity and reliability can be assessed from the measurement model convergent validity, discriminant validity and composite reliability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 Can be seen in table 2.</w:t>
      </w:r>
    </w:p>
    <w:p w:rsidR="00095EF9" w:rsidRPr="00D019C2" w:rsidRDefault="00095EF9" w:rsidP="00D019C2">
      <w:pPr>
        <w:spacing w:beforeLines="50" w:before="120" w:afterLines="50" w:after="120"/>
        <w:ind w:right="119"/>
        <w:rPr>
          <w:b/>
          <w:bCs/>
          <w:sz w:val="24"/>
        </w:rPr>
      </w:pPr>
      <w:r w:rsidRPr="004224D3">
        <w:rPr>
          <w:bCs/>
          <w:sz w:val="24"/>
        </w:rPr>
        <w:t>Table 2.</w:t>
      </w:r>
      <w:r w:rsidRPr="00D019C2">
        <w:rPr>
          <w:b/>
          <w:bCs/>
          <w:sz w:val="24"/>
        </w:rPr>
        <w:t xml:space="preserve"> </w:t>
      </w:r>
      <w:r w:rsidR="006156AB">
        <w:rPr>
          <w:bCs/>
          <w:sz w:val="24"/>
        </w:rPr>
        <w:t>Factor l</w:t>
      </w:r>
      <w:r w:rsidRPr="00A50080">
        <w:rPr>
          <w:bCs/>
          <w:sz w:val="24"/>
        </w:rPr>
        <w:t>oading, AVE and CR.</w:t>
      </w:r>
    </w:p>
    <w:tbl>
      <w:tblPr>
        <w:tblW w:w="8809" w:type="dxa"/>
        <w:tblInd w:w="108" w:type="dxa"/>
        <w:tblLook w:val="04A0" w:firstRow="1" w:lastRow="0" w:firstColumn="1" w:lastColumn="0" w:noHBand="0" w:noVBand="1"/>
      </w:tblPr>
      <w:tblGrid>
        <w:gridCol w:w="1736"/>
        <w:gridCol w:w="4291"/>
        <w:gridCol w:w="1070"/>
        <w:gridCol w:w="865"/>
        <w:gridCol w:w="847"/>
      </w:tblGrid>
      <w:tr w:rsidR="00095EF9" w:rsidRPr="00D019C2" w:rsidTr="0011129D">
        <w:trPr>
          <w:trHeight w:val="678"/>
        </w:trPr>
        <w:tc>
          <w:tcPr>
            <w:tcW w:w="1736" w:type="dxa"/>
            <w:tcBorders>
              <w:top w:val="single" w:sz="4" w:space="0" w:color="auto"/>
              <w:left w:val="nil"/>
              <w:bottom w:val="single" w:sz="4" w:space="0" w:color="auto"/>
              <w:right w:val="nil"/>
            </w:tcBorders>
            <w:shd w:val="clear" w:color="auto" w:fill="auto"/>
            <w:noWrap/>
            <w:vAlign w:val="center"/>
            <w:hideMark/>
          </w:tcPr>
          <w:p w:rsidR="00095EF9" w:rsidRPr="006D39BD" w:rsidRDefault="00095EF9" w:rsidP="00D019C2">
            <w:pPr>
              <w:spacing w:beforeLines="50" w:before="120" w:afterLines="50" w:after="120"/>
              <w:rPr>
                <w:rFonts w:eastAsia="Times New Roman"/>
                <w:bCs/>
                <w:color w:val="000000"/>
                <w:sz w:val="24"/>
              </w:rPr>
            </w:pPr>
            <w:r w:rsidRPr="006D39BD">
              <w:rPr>
                <w:rFonts w:eastAsia="Times New Roman"/>
                <w:bCs/>
                <w:color w:val="000000"/>
                <w:sz w:val="24"/>
              </w:rPr>
              <w:t>Construct</w:t>
            </w:r>
          </w:p>
        </w:tc>
        <w:tc>
          <w:tcPr>
            <w:tcW w:w="4291" w:type="dxa"/>
            <w:tcBorders>
              <w:top w:val="single" w:sz="4" w:space="0" w:color="auto"/>
              <w:left w:val="nil"/>
              <w:bottom w:val="single" w:sz="4" w:space="0" w:color="auto"/>
              <w:right w:val="nil"/>
            </w:tcBorders>
            <w:shd w:val="clear" w:color="auto" w:fill="auto"/>
            <w:noWrap/>
            <w:vAlign w:val="center"/>
            <w:hideMark/>
          </w:tcPr>
          <w:p w:rsidR="00095EF9" w:rsidRPr="006D39BD" w:rsidRDefault="006D39BD" w:rsidP="00D019C2">
            <w:pPr>
              <w:spacing w:beforeLines="50" w:before="120" w:afterLines="50" w:after="120"/>
              <w:rPr>
                <w:rFonts w:eastAsia="Times New Roman"/>
                <w:bCs/>
                <w:color w:val="000000"/>
                <w:sz w:val="24"/>
              </w:rPr>
            </w:pPr>
            <w:r>
              <w:rPr>
                <w:rFonts w:eastAsia="Times New Roman"/>
                <w:bCs/>
                <w:color w:val="000000"/>
                <w:sz w:val="24"/>
              </w:rPr>
              <w:t>Item s</w:t>
            </w:r>
            <w:r w:rsidR="00095EF9" w:rsidRPr="006D39BD">
              <w:rPr>
                <w:rFonts w:eastAsia="Times New Roman"/>
                <w:bCs/>
                <w:color w:val="000000"/>
                <w:sz w:val="24"/>
              </w:rPr>
              <w:t>tatement</w:t>
            </w:r>
          </w:p>
        </w:tc>
        <w:tc>
          <w:tcPr>
            <w:tcW w:w="1070" w:type="dxa"/>
            <w:tcBorders>
              <w:top w:val="single" w:sz="4" w:space="0" w:color="auto"/>
              <w:left w:val="nil"/>
              <w:bottom w:val="single" w:sz="4" w:space="0" w:color="auto"/>
              <w:right w:val="nil"/>
            </w:tcBorders>
            <w:shd w:val="clear" w:color="auto" w:fill="auto"/>
            <w:vAlign w:val="center"/>
            <w:hideMark/>
          </w:tcPr>
          <w:p w:rsidR="00095EF9" w:rsidRPr="006D39BD" w:rsidRDefault="00095EF9" w:rsidP="00D019C2">
            <w:pPr>
              <w:spacing w:beforeLines="50" w:before="120" w:afterLines="50" w:after="120"/>
              <w:jc w:val="center"/>
              <w:rPr>
                <w:rFonts w:eastAsia="Times New Roman"/>
                <w:bCs/>
                <w:color w:val="000000"/>
                <w:sz w:val="24"/>
              </w:rPr>
            </w:pPr>
            <w:r w:rsidRPr="006D39BD">
              <w:rPr>
                <w:rFonts w:eastAsia="Times New Roman"/>
                <w:bCs/>
                <w:color w:val="000000"/>
                <w:sz w:val="24"/>
              </w:rPr>
              <w:t>Factor Loading</w:t>
            </w:r>
          </w:p>
        </w:tc>
        <w:tc>
          <w:tcPr>
            <w:tcW w:w="865" w:type="dxa"/>
            <w:tcBorders>
              <w:top w:val="single" w:sz="4" w:space="0" w:color="auto"/>
              <w:left w:val="nil"/>
              <w:bottom w:val="single" w:sz="4" w:space="0" w:color="auto"/>
              <w:right w:val="nil"/>
            </w:tcBorders>
            <w:shd w:val="clear" w:color="auto" w:fill="auto"/>
            <w:noWrap/>
            <w:vAlign w:val="center"/>
            <w:hideMark/>
          </w:tcPr>
          <w:p w:rsidR="00095EF9" w:rsidRPr="006D39BD" w:rsidRDefault="00095EF9" w:rsidP="00D019C2">
            <w:pPr>
              <w:spacing w:beforeLines="50" w:before="120" w:afterLines="50" w:after="120"/>
              <w:jc w:val="center"/>
              <w:rPr>
                <w:rFonts w:eastAsia="Times New Roman"/>
                <w:bCs/>
                <w:color w:val="000000"/>
                <w:sz w:val="24"/>
              </w:rPr>
            </w:pPr>
            <w:r w:rsidRPr="006D39BD">
              <w:rPr>
                <w:rFonts w:eastAsia="Times New Roman"/>
                <w:bCs/>
                <w:color w:val="000000"/>
                <w:sz w:val="24"/>
              </w:rPr>
              <w:t>AVE</w:t>
            </w:r>
          </w:p>
        </w:tc>
        <w:tc>
          <w:tcPr>
            <w:tcW w:w="847" w:type="dxa"/>
            <w:tcBorders>
              <w:top w:val="single" w:sz="4" w:space="0" w:color="auto"/>
              <w:left w:val="nil"/>
              <w:bottom w:val="single" w:sz="4" w:space="0" w:color="auto"/>
              <w:right w:val="nil"/>
            </w:tcBorders>
            <w:shd w:val="clear" w:color="auto" w:fill="auto"/>
            <w:noWrap/>
            <w:vAlign w:val="center"/>
            <w:hideMark/>
          </w:tcPr>
          <w:p w:rsidR="00095EF9" w:rsidRPr="006D39BD" w:rsidRDefault="00095EF9" w:rsidP="00D019C2">
            <w:pPr>
              <w:spacing w:beforeLines="50" w:before="120" w:afterLines="50" w:after="120"/>
              <w:jc w:val="center"/>
              <w:rPr>
                <w:rFonts w:eastAsia="Times New Roman"/>
                <w:bCs/>
                <w:color w:val="000000"/>
                <w:sz w:val="24"/>
              </w:rPr>
            </w:pPr>
            <w:r w:rsidRPr="006D39BD">
              <w:rPr>
                <w:rFonts w:eastAsia="Times New Roman"/>
                <w:bCs/>
                <w:color w:val="000000"/>
                <w:sz w:val="24"/>
              </w:rPr>
              <w:t>CR</w:t>
            </w:r>
          </w:p>
        </w:tc>
      </w:tr>
      <w:tr w:rsidR="00095EF9" w:rsidRPr="00D019C2" w:rsidTr="0011129D">
        <w:trPr>
          <w:trHeight w:val="678"/>
        </w:trPr>
        <w:tc>
          <w:tcPr>
            <w:tcW w:w="1736" w:type="dxa"/>
            <w:vMerge w:val="restart"/>
            <w:tcBorders>
              <w:top w:val="single" w:sz="4" w:space="0" w:color="auto"/>
              <w:left w:val="nil"/>
              <w:bottom w:val="nil"/>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Customer Satisfaction</w:t>
            </w: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 xml:space="preserve">I am satisfied with the transaction processing via Pegadaian Digital services </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0.908</w:t>
            </w:r>
          </w:p>
        </w:tc>
        <w:tc>
          <w:tcPr>
            <w:tcW w:w="865" w:type="dxa"/>
            <w:vMerge w:val="restart"/>
            <w:tcBorders>
              <w:top w:val="single" w:sz="4" w:space="0" w:color="auto"/>
              <w:left w:val="nil"/>
              <w:bottom w:val="nil"/>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0.783</w:t>
            </w:r>
          </w:p>
        </w:tc>
        <w:tc>
          <w:tcPr>
            <w:tcW w:w="847" w:type="dxa"/>
            <w:vMerge w:val="restart"/>
            <w:tcBorders>
              <w:top w:val="single" w:sz="4" w:space="0" w:color="auto"/>
              <w:left w:val="nil"/>
              <w:bottom w:val="nil"/>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0.947</w:t>
            </w:r>
          </w:p>
        </w:tc>
      </w:tr>
      <w:tr w:rsidR="00095EF9" w:rsidRPr="00D019C2" w:rsidTr="0011129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lang w:val="id-ID"/>
              </w:rPr>
              <w:t>Pegadaian Digital service can speed up the transaction process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0.913</w:t>
            </w:r>
          </w:p>
        </w:tc>
        <w:tc>
          <w:tcPr>
            <w:tcW w:w="865"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11129D">
        <w:trPr>
          <w:trHeight w:val="678"/>
        </w:trPr>
        <w:tc>
          <w:tcPr>
            <w:tcW w:w="1736"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lang w:val="id-ID"/>
              </w:rPr>
              <w:t>Pegadaian Digital service provide convenience and comfort in transactions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0.913</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11129D">
        <w:trPr>
          <w:trHeight w:val="1017"/>
        </w:trPr>
        <w:tc>
          <w:tcPr>
            <w:tcW w:w="1736" w:type="dxa"/>
            <w:vMerge/>
            <w:tcBorders>
              <w:top w:val="single" w:sz="4" w:space="0" w:color="auto"/>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lang w:val="id-ID"/>
              </w:rPr>
              <w:t>Transaction fees issued through the Pegadaian Digital service are cheaper than coming directly to the branch office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0.782</w:t>
            </w:r>
          </w:p>
        </w:tc>
        <w:tc>
          <w:tcPr>
            <w:tcW w:w="865" w:type="dxa"/>
            <w:vMerge/>
            <w:tcBorders>
              <w:top w:val="single" w:sz="4" w:space="0" w:color="auto"/>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single" w:sz="4" w:space="0" w:color="auto"/>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11129D">
        <w:trPr>
          <w:trHeight w:val="678"/>
        </w:trPr>
        <w:tc>
          <w:tcPr>
            <w:tcW w:w="1736"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lang w:val="id-ID"/>
              </w:rPr>
              <w:t xml:space="preserve"> Overall, Pegadaian Digital service is better than my expectation</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0.899</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val="restart"/>
            <w:tcBorders>
              <w:top w:val="single" w:sz="4" w:space="0" w:color="auto"/>
              <w:left w:val="nil"/>
              <w:bottom w:val="nil"/>
              <w:right w:val="nil"/>
            </w:tcBorders>
            <w:shd w:val="clear" w:color="auto" w:fill="auto"/>
            <w:noWrap/>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Reliability</w:t>
            </w: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is reliable and dependable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0.891</w:t>
            </w:r>
          </w:p>
        </w:tc>
        <w:tc>
          <w:tcPr>
            <w:tcW w:w="865" w:type="dxa"/>
            <w:vMerge w:val="restart"/>
            <w:tcBorders>
              <w:top w:val="single" w:sz="4" w:space="0" w:color="auto"/>
              <w:left w:val="nil"/>
              <w:bottom w:val="nil"/>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0.825</w:t>
            </w:r>
          </w:p>
        </w:tc>
        <w:tc>
          <w:tcPr>
            <w:tcW w:w="847" w:type="dxa"/>
            <w:vMerge w:val="restart"/>
            <w:tcBorders>
              <w:top w:val="single" w:sz="4" w:space="0" w:color="auto"/>
              <w:left w:val="nil"/>
              <w:bottom w:val="nil"/>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0.95</w:t>
            </w: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provides the exact service as promised</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0.916</w:t>
            </w:r>
          </w:p>
        </w:tc>
        <w:tc>
          <w:tcPr>
            <w:tcW w:w="865"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perform for me the service right on the first time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0.899</w:t>
            </w:r>
          </w:p>
        </w:tc>
        <w:tc>
          <w:tcPr>
            <w:tcW w:w="865"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can always complete their tasks accurately</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0.927</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val="restart"/>
            <w:tcBorders>
              <w:top w:val="single" w:sz="4" w:space="0" w:color="auto"/>
              <w:left w:val="nil"/>
              <w:right w:val="nil"/>
            </w:tcBorders>
            <w:shd w:val="clear" w:color="auto" w:fill="auto"/>
            <w:noWrap/>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Efficiency</w:t>
            </w:r>
          </w:p>
        </w:tc>
        <w:tc>
          <w:tcPr>
            <w:tcW w:w="4291" w:type="dxa"/>
            <w:tcBorders>
              <w:top w:val="single" w:sz="4" w:space="0" w:color="auto"/>
              <w:left w:val="nil"/>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use of Pegadaian Digital service are time saving</w:t>
            </w:r>
          </w:p>
        </w:tc>
        <w:tc>
          <w:tcPr>
            <w:tcW w:w="1070" w:type="dxa"/>
            <w:tcBorders>
              <w:top w:val="single" w:sz="4" w:space="0" w:color="auto"/>
              <w:left w:val="nil"/>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0.871</w:t>
            </w:r>
          </w:p>
        </w:tc>
        <w:tc>
          <w:tcPr>
            <w:tcW w:w="865" w:type="dxa"/>
            <w:vMerge w:val="restart"/>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0.775</w:t>
            </w:r>
          </w:p>
        </w:tc>
        <w:tc>
          <w:tcPr>
            <w:tcW w:w="847" w:type="dxa"/>
            <w:vMerge w:val="restart"/>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0.954</w:t>
            </w:r>
          </w:p>
        </w:tc>
      </w:tr>
      <w:tr w:rsidR="00095EF9" w:rsidRPr="00D019C2" w:rsidTr="006D39BD">
        <w:trPr>
          <w:trHeight w:val="678"/>
        </w:trPr>
        <w:tc>
          <w:tcPr>
            <w:tcW w:w="1736" w:type="dxa"/>
            <w:vMerge/>
            <w:tcBorders>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service delivered through the Pegadaian Digital service is quick</w:t>
            </w:r>
          </w:p>
        </w:tc>
        <w:tc>
          <w:tcPr>
            <w:tcW w:w="1070" w:type="dxa"/>
            <w:tcBorders>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0.883</w:t>
            </w:r>
          </w:p>
        </w:tc>
        <w:tc>
          <w:tcPr>
            <w:tcW w:w="865" w:type="dxa"/>
            <w:vMerge/>
            <w:tcBorders>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432"/>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noWrap/>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is easy to use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0.888</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language in the Pegadaian Digital service is easy to understand</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0.903</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system in the Pegadaian Digital service provides clear instructions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0.879</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Pegadaian Digital system to be flexible to interact with</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0.858</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val="restart"/>
            <w:tcBorders>
              <w:top w:val="single" w:sz="4" w:space="0" w:color="auto"/>
              <w:left w:val="nil"/>
              <w:right w:val="nil"/>
            </w:tcBorders>
            <w:shd w:val="clear" w:color="auto" w:fill="auto"/>
            <w:noWrap/>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Security</w:t>
            </w: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do not allow others to access my accounts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0.884</w:t>
            </w:r>
          </w:p>
        </w:tc>
        <w:tc>
          <w:tcPr>
            <w:tcW w:w="865" w:type="dxa"/>
            <w:vMerge w:val="restart"/>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0.832</w:t>
            </w:r>
          </w:p>
        </w:tc>
        <w:tc>
          <w:tcPr>
            <w:tcW w:w="847" w:type="dxa"/>
            <w:vMerge w:val="restart"/>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0.952</w:t>
            </w:r>
          </w:p>
        </w:tc>
      </w:tr>
      <w:tr w:rsidR="00095EF9" w:rsidRPr="00D019C2" w:rsidTr="006D39BD">
        <w:trPr>
          <w:trHeight w:val="678"/>
        </w:trPr>
        <w:tc>
          <w:tcPr>
            <w:tcW w:w="1736" w:type="dxa"/>
            <w:vMerge/>
            <w:tcBorders>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I feel safe when making transactions through the Pegadaian Digtal service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0.925</w:t>
            </w:r>
          </w:p>
        </w:tc>
        <w:tc>
          <w:tcPr>
            <w:tcW w:w="865" w:type="dxa"/>
            <w:vMerge/>
            <w:tcBorders>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are guaranteed to be safe from all fraud and hacking</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0.917</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1017"/>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provide high protection for transaction data and personal information</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0.921</w:t>
            </w:r>
          </w:p>
        </w:tc>
        <w:tc>
          <w:tcPr>
            <w:tcW w:w="865" w:type="dxa"/>
            <w:vMerge/>
            <w:tcBorders>
              <w:top w:val="single" w:sz="4" w:space="0" w:color="auto"/>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single" w:sz="4" w:space="0" w:color="auto"/>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339"/>
        </w:trPr>
        <w:tc>
          <w:tcPr>
            <w:tcW w:w="1736" w:type="dxa"/>
            <w:vMerge w:val="restart"/>
            <w:tcBorders>
              <w:top w:val="nil"/>
              <w:left w:val="nil"/>
              <w:bottom w:val="nil"/>
              <w:right w:val="nil"/>
            </w:tcBorders>
            <w:shd w:val="clear" w:color="auto" w:fill="auto"/>
            <w:noWrap/>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Responsiveness</w:t>
            </w: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services are available 24/7</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0.888</w:t>
            </w:r>
          </w:p>
        </w:tc>
        <w:tc>
          <w:tcPr>
            <w:tcW w:w="865" w:type="dxa"/>
            <w:vMerge w:val="restart"/>
            <w:tcBorders>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0.804</w:t>
            </w:r>
          </w:p>
        </w:tc>
        <w:tc>
          <w:tcPr>
            <w:tcW w:w="847" w:type="dxa"/>
            <w:vMerge w:val="restart"/>
            <w:tcBorders>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0.954</w:t>
            </w: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is fast in responding to requests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0.904</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is fast in solving problems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0.907</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nil"/>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Pegadaian Digital service provide answers to your questions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0.915</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Can talk to employees by telephone/directly at the branch office when a problem occurs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0.869</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val="restart"/>
            <w:tcBorders>
              <w:top w:val="single" w:sz="4" w:space="0" w:color="auto"/>
              <w:left w:val="nil"/>
              <w:bottom w:val="single" w:sz="4" w:space="0" w:color="auto"/>
              <w:right w:val="nil"/>
            </w:tcBorders>
            <w:shd w:val="clear" w:color="auto" w:fill="auto"/>
            <w:noWrap/>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Web Design</w:t>
            </w: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information on the Pegadaian Digital service is effective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0.881</w:t>
            </w:r>
          </w:p>
        </w:tc>
        <w:tc>
          <w:tcPr>
            <w:tcW w:w="865" w:type="dxa"/>
            <w:vMerge w:val="restart"/>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0.777</w:t>
            </w:r>
          </w:p>
        </w:tc>
        <w:tc>
          <w:tcPr>
            <w:tcW w:w="847" w:type="dxa"/>
            <w:vMerge w:val="restart"/>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0.965</w:t>
            </w:r>
          </w:p>
        </w:tc>
      </w:tr>
      <w:tr w:rsidR="00095EF9" w:rsidRPr="00D019C2" w:rsidTr="006D39BD">
        <w:trPr>
          <w:trHeight w:val="678"/>
        </w:trPr>
        <w:tc>
          <w:tcPr>
            <w:tcW w:w="1736" w:type="dxa"/>
            <w:vMerge/>
            <w:tcBorders>
              <w:top w:val="single" w:sz="4" w:space="0" w:color="auto"/>
              <w:left w:val="nil"/>
              <w:bottom w:val="single" w:sz="4" w:space="0" w:color="000000"/>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Pegadaian Digital service displays a visually pleasing design</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0.887</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000000"/>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Pegadaian Digital service has no difficulties with making a payment online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0.839</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000000"/>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Pegadaian Digital service displays a visually pleasing easy to read content</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0.905</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000000"/>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Pegadaian Digital service has a wide variety of products that interest me</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0.867</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000000"/>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The Pegadaian Digital service offer attractive bonuses or promotions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0.869</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1017"/>
        </w:trPr>
        <w:tc>
          <w:tcPr>
            <w:tcW w:w="1736" w:type="dxa"/>
            <w:vMerge/>
            <w:tcBorders>
              <w:top w:val="nil"/>
              <w:left w:val="nil"/>
              <w:bottom w:val="single" w:sz="4" w:space="0" w:color="000000"/>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I can interact with the Pegadaian Digital service in order to get information tailored to my specific needs</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0.910</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r w:rsidR="00095EF9" w:rsidRPr="00D019C2" w:rsidTr="006D39BD">
        <w:trPr>
          <w:trHeight w:val="678"/>
        </w:trPr>
        <w:tc>
          <w:tcPr>
            <w:tcW w:w="1736" w:type="dxa"/>
            <w:vMerge/>
            <w:tcBorders>
              <w:top w:val="nil"/>
              <w:left w:val="nil"/>
              <w:bottom w:val="single" w:sz="4" w:space="0" w:color="000000"/>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4291" w:type="dxa"/>
            <w:tcBorders>
              <w:top w:val="single" w:sz="4" w:space="0" w:color="auto"/>
              <w:left w:val="nil"/>
              <w:bottom w:val="single" w:sz="4" w:space="0" w:color="auto"/>
              <w:right w:val="nil"/>
            </w:tcBorders>
            <w:shd w:val="clear" w:color="auto" w:fill="auto"/>
            <w:hideMark/>
          </w:tcPr>
          <w:p w:rsidR="00095EF9" w:rsidRPr="00D019C2" w:rsidRDefault="00095EF9" w:rsidP="00D019C2">
            <w:pPr>
              <w:spacing w:beforeLines="50" w:before="120" w:afterLines="50" w:after="120"/>
              <w:rPr>
                <w:rFonts w:eastAsia="Times New Roman"/>
                <w:color w:val="000000"/>
                <w:sz w:val="24"/>
              </w:rPr>
            </w:pPr>
            <w:r w:rsidRPr="00D019C2">
              <w:rPr>
                <w:rFonts w:eastAsia="Times New Roman"/>
                <w:color w:val="000000"/>
                <w:sz w:val="24"/>
              </w:rPr>
              <w:t>When I use the Pegadaian Digital service, it doesn't take long to load</w:t>
            </w:r>
          </w:p>
        </w:tc>
        <w:tc>
          <w:tcPr>
            <w:tcW w:w="1070" w:type="dxa"/>
            <w:tcBorders>
              <w:top w:val="single" w:sz="4" w:space="0" w:color="auto"/>
              <w:left w:val="nil"/>
              <w:bottom w:val="single" w:sz="4" w:space="0" w:color="auto"/>
              <w:right w:val="nil"/>
            </w:tcBorders>
            <w:shd w:val="clear" w:color="auto" w:fill="auto"/>
            <w:noWrap/>
            <w:vAlign w:val="center"/>
            <w:hideMark/>
          </w:tcPr>
          <w:p w:rsidR="00095EF9" w:rsidRPr="00D019C2" w:rsidRDefault="00095EF9" w:rsidP="00D019C2">
            <w:pPr>
              <w:spacing w:beforeLines="50" w:before="120" w:afterLines="50" w:after="120"/>
              <w:jc w:val="center"/>
              <w:rPr>
                <w:rFonts w:eastAsia="Times New Roman"/>
                <w:color w:val="000000"/>
                <w:sz w:val="24"/>
              </w:rPr>
            </w:pPr>
            <w:r w:rsidRPr="00D019C2">
              <w:rPr>
                <w:rFonts w:eastAsia="Times New Roman"/>
                <w:color w:val="000000"/>
                <w:sz w:val="24"/>
              </w:rPr>
              <w:t>0.890</w:t>
            </w:r>
          </w:p>
        </w:tc>
        <w:tc>
          <w:tcPr>
            <w:tcW w:w="865"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c>
          <w:tcPr>
            <w:tcW w:w="847" w:type="dxa"/>
            <w:vMerge/>
            <w:tcBorders>
              <w:top w:val="nil"/>
              <w:left w:val="nil"/>
              <w:bottom w:val="single" w:sz="4" w:space="0" w:color="auto"/>
              <w:right w:val="nil"/>
            </w:tcBorders>
            <w:vAlign w:val="center"/>
            <w:hideMark/>
          </w:tcPr>
          <w:p w:rsidR="00095EF9" w:rsidRPr="00D019C2" w:rsidRDefault="00095EF9" w:rsidP="00D019C2">
            <w:pPr>
              <w:spacing w:beforeLines="50" w:before="120" w:afterLines="50" w:after="120"/>
              <w:rPr>
                <w:rFonts w:eastAsia="Times New Roman"/>
                <w:color w:val="000000"/>
                <w:sz w:val="24"/>
              </w:rPr>
            </w:pPr>
          </w:p>
        </w:tc>
      </w:tr>
    </w:tbl>
    <w:p w:rsidR="00095EF9" w:rsidRPr="00D019C2" w:rsidRDefault="00BD622D" w:rsidP="00D019C2">
      <w:pPr>
        <w:spacing w:beforeLines="50" w:before="120" w:afterLines="50" w:after="120"/>
        <w:ind w:right="119"/>
        <w:rPr>
          <w:rFonts w:eastAsia="Times New Roman"/>
          <w:sz w:val="24"/>
        </w:rPr>
      </w:pPr>
      <w:r w:rsidRPr="00D019C2">
        <w:rPr>
          <w:rFonts w:eastAsia="Times New Roman"/>
          <w:sz w:val="24"/>
        </w:rPr>
        <w:t xml:space="preserve">Table 2 shows that all statement instruments based on loading factors have a value of &gt;0.5 or exceeding the recommended threshold </w:t>
      </w:r>
      <w:r w:rsidRPr="00D019C2">
        <w:rPr>
          <w:rFonts w:eastAsia="Times New Roman"/>
          <w:sz w:val="24"/>
        </w:rPr>
        <w:fldChar w:fldCharType="begin" w:fldLock="1"/>
      </w:r>
      <w:r w:rsidRPr="00D019C2">
        <w:rPr>
          <w:rFonts w:eastAsia="Times New Roman"/>
          <w:sz w:val="24"/>
        </w:rPr>
        <w:instrText>ADDIN CSL_CITATION {"citationItems":[{"id":"ITEM-1","itemData":{"ISBN":"979.704.015.1","author":[{"dropping-particle":"","family":"Ghozali","given":"Imam","non-dropping-particle":"","parse-names":false,"suffix":""}],"edition":"9","id":"ITEM-1","issued":{"date-parts":[["2018"]]},"number-of-pages":"490","publisher":"Universitas Diponogoro","publisher-place":"Semarang","title":"Aplikasi Analisis Multivariate Dengan Program IBM SPSS 25","type":"book"},"uris":["http://www.mendeley.com/documents/?uuid=7793df05-fef8-4351-8abd-c0921c0e7bf6"]}],"mendeley":{"formattedCitation":"(Ghozali, 2018)","plainTextFormattedCitation":"(Ghozali, 2018)","previouslyFormattedCitation":"(Ghozali,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(Ghozali, 2018)</w:t>
      </w:r>
      <w:r w:rsidRPr="00D019C2">
        <w:rPr>
          <w:rFonts w:eastAsia="Times New Roman"/>
          <w:sz w:val="24"/>
        </w:rPr>
        <w:fldChar w:fldCharType="end"/>
      </w:r>
      <w:r w:rsidRPr="00D019C2">
        <w:rPr>
          <w:rFonts w:eastAsia="Times New Roman"/>
          <w:sz w:val="24"/>
        </w:rPr>
        <w:t xml:space="preserve">. The lowest value is 0.782 on CS4 </w:t>
      </w:r>
      <w:r w:rsidRPr="00D019C2">
        <w:rPr>
          <w:rFonts w:eastAsia="Times New Roman"/>
          <w:sz w:val="24"/>
        </w:rPr>
        <w:lastRenderedPageBreak/>
        <w:t>items and the highest value is 0.927 on RE4 items. Thus, all indicators in this study have been declared valid or have met convergent validity.</w:t>
      </w:r>
      <w:r>
        <w:rPr>
          <w:rFonts w:eastAsia="Times New Roman"/>
          <w:sz w:val="24"/>
        </w:rPr>
        <w:t xml:space="preserve"> </w:t>
      </w:r>
      <w:r w:rsidR="004224D3" w:rsidRPr="004224D3">
        <w:rPr>
          <w:rFonts w:eastAsia="Times New Roman"/>
          <w:sz w:val="24"/>
        </w:rPr>
        <w:t>A</w:t>
      </w:r>
      <w:r w:rsidR="00095EF9" w:rsidRPr="004224D3">
        <w:rPr>
          <w:rFonts w:eastAsia="Times New Roman"/>
          <w:sz w:val="24"/>
        </w:rPr>
        <w:t>VE</w:t>
      </w:r>
      <w:r w:rsidR="00095EF9" w:rsidRPr="00D019C2">
        <w:rPr>
          <w:rFonts w:eastAsia="Times New Roman"/>
          <w:sz w:val="24"/>
        </w:rPr>
        <w:t xml:space="preserve"> values for all variables studied have a value of &gt;0.5 or exceeding the recommended limit (Ghozali, 2018). This means that all variables are declared valid. Based on both tests it can be concluded that all instruments in this study are able to measure the variables studied.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Table 2 shows the Composite Reliability (CR) value for all variables is &gt;0.7 or has exceeded the recommended threshold </w:t>
      </w:r>
      <w:r w:rsidRPr="00D019C2">
        <w:rPr>
          <w:rFonts w:eastAsia="Times New Roman"/>
          <w:sz w:val="24"/>
        </w:rPr>
        <w:fldChar w:fldCharType="begin" w:fldLock="1"/>
      </w:r>
      <w:r w:rsidRPr="00D019C2">
        <w:rPr>
          <w:rFonts w:eastAsia="Times New Roman"/>
          <w:sz w:val="24"/>
        </w:rPr>
        <w:instrText>ADDIN CSL_CITATION {"citationItems":[{"id":"ITEM-1","itemData":{"DOI":"10.1002/9781118895238.ch8","ISBN":"9781118895238","abstract":"This chapter introduces the concept of multivariate data analysis (MVDA) based on projection methods. It describes three multivariate techniques and illustrates how they may be used within quality by design (QbD) and process analytical technology (PAT). The data analytical methods are described as principal component analysis (PCA), partial least squares (PLS) and orthogonal partial least squares (OPLS multivariate software). The chapter provides a brief review on account of principal component analysis (PCA), which is followed by its application for raw material characterization based on particle size distribution measurements. It discusses and gives a position overview of how MVDA can facilitate and amplify applications like PAT, continued process verification (CPV) and QbD. The goal of PAT is to improve the understanding and control of the entire pharmaceutical and biopharmaceutical manufacturing process. One way of achieving this is through timely measurements of critical quality and performance attributes of raw and in-process materials and processes, combined with MVDA.","author":[{"dropping-particle":"","family":"Hair","given":"Joseph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E.","non-dropping-particle":"","parse-names":false,"suffix":""}],"container-title":"Pharmaceutical Quality by Design: A Practical Approach","edition":"Seventh Ed","id":"ITEM-1","issued":{"date-parts":[["2014"]]},"number-of-pages":"739","title":"Multivariate Data Analysis (MVDA)","type":"book"},"uris":["http://www.mendeley.com/documents/?uuid=d267bf96-e1fe-4fbc-b6d9-4942ef7f1329"]}],"mendeley":{"formattedCitation":"(Hair et al., 2014)","plainTextFormattedCitation":"(Hair et al., 2014)","previouslyFormattedCitation":"(Hair et al., 2014)"},"properties":{"noteIndex":0},"schema":"https://github.com/citation-style-language/schema/raw/master/csl-citation.json"}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(Hair et al., 2014)</w:t>
      </w:r>
      <w:r w:rsidRPr="00D019C2">
        <w:rPr>
          <w:rFonts w:eastAsia="Times New Roman"/>
          <w:sz w:val="24"/>
        </w:rPr>
        <w:fldChar w:fldCharType="end"/>
      </w:r>
      <w:r w:rsidRPr="00D019C2">
        <w:rPr>
          <w:rFonts w:eastAsia="Times New Roman"/>
          <w:sz w:val="24"/>
        </w:rPr>
        <w:t>. This means all statements related to customer satisfaction, reliability, efficiency, security, responsiveness and web design each indicator is expected to meet the criteria. So it can be concluded that if similar research is conducted using the same instrument, the quality of the data would not change.</w:t>
      </w:r>
    </w:p>
    <w:p w:rsidR="00095EF9" w:rsidRPr="00A50080" w:rsidRDefault="00A50080" w:rsidP="00D019C2">
      <w:pPr>
        <w:spacing w:beforeLines="50" w:before="120" w:afterLines="50" w:after="120"/>
        <w:ind w:right="119"/>
        <w:rPr>
          <w:rFonts w:eastAsia="Times New Roman"/>
          <w:bCs/>
          <w:i/>
          <w:iCs/>
          <w:sz w:val="24"/>
        </w:rPr>
      </w:pPr>
      <w:r>
        <w:rPr>
          <w:rFonts w:eastAsia="Times New Roman"/>
          <w:bCs/>
          <w:i/>
          <w:iCs/>
          <w:sz w:val="24"/>
        </w:rPr>
        <w:t xml:space="preserve">4.2 </w:t>
      </w:r>
      <w:r w:rsidR="00095EF9" w:rsidRPr="00A50080">
        <w:rPr>
          <w:rFonts w:eastAsia="Times New Roman"/>
          <w:bCs/>
          <w:i/>
          <w:iCs/>
          <w:sz w:val="24"/>
        </w:rPr>
        <w:t>Coefficient of Determination Test (R</w:t>
      </w:r>
      <w:r w:rsidR="00095EF9" w:rsidRPr="00A50080">
        <w:rPr>
          <w:rFonts w:eastAsia="Times New Roman"/>
          <w:bCs/>
          <w:i/>
          <w:iCs/>
          <w:sz w:val="24"/>
          <w:vertAlign w:val="superscript"/>
        </w:rPr>
        <w:t>2</w:t>
      </w:r>
      <w:r w:rsidR="00095EF9" w:rsidRPr="00A50080">
        <w:rPr>
          <w:rFonts w:eastAsia="Times New Roman"/>
          <w:bCs/>
          <w:i/>
          <w:iCs/>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At this stage the structural model of the study was tested using the R square test. Here are the results of the R square test in the table below:</w:t>
      </w:r>
    </w:p>
    <w:p w:rsidR="00095EF9" w:rsidRPr="00D019C2" w:rsidRDefault="00BD622D" w:rsidP="00D019C2">
      <w:pPr>
        <w:spacing w:beforeLines="50" w:before="120" w:afterLines="50" w:after="120"/>
        <w:ind w:right="119"/>
        <w:rPr>
          <w:rFonts w:eastAsia="Times New Roman"/>
          <w:bCs/>
          <w:sz w:val="24"/>
        </w:rPr>
      </w:pPr>
      <w:r>
        <w:rPr>
          <w:rFonts w:eastAsia="Times New Roman"/>
          <w:bCs/>
          <w:sz w:val="24"/>
        </w:rPr>
        <w:t>Table 3. R square and R square a</w:t>
      </w:r>
      <w:r w:rsidR="00095EF9" w:rsidRPr="00D019C2">
        <w:rPr>
          <w:rFonts w:eastAsia="Times New Roman"/>
          <w:bCs/>
          <w:sz w:val="24"/>
        </w:rPr>
        <w:t>djusted.</w:t>
      </w:r>
    </w:p>
    <w:tbl>
      <w:tblPr>
        <w:tblStyle w:val="LightShading"/>
        <w:tblW w:w="0" w:type="auto"/>
        <w:tblBorders>
          <w:insideH w:val="single" w:sz="4" w:space="0" w:color="auto"/>
        </w:tblBorders>
        <w:tblLayout w:type="fixed"/>
        <w:tblLook w:val="04A0" w:firstRow="1" w:lastRow="0" w:firstColumn="1" w:lastColumn="0" w:noHBand="0" w:noVBand="1"/>
      </w:tblPr>
      <w:tblGrid>
        <w:gridCol w:w="1624"/>
        <w:gridCol w:w="1495"/>
        <w:gridCol w:w="1186"/>
        <w:gridCol w:w="1224"/>
      </w:tblGrid>
      <w:tr w:rsidR="00095EF9" w:rsidRPr="00D019C2" w:rsidTr="006156AB">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624" w:type="dxa"/>
            <w:tcBorders>
              <w:left w:val="none" w:sz="0" w:space="0" w:color="auto"/>
              <w:bottom w:val="nil"/>
              <w:right w:val="none" w:sz="0" w:space="0" w:color="auto"/>
            </w:tcBorders>
            <w:shd w:val="clear" w:color="auto" w:fill="auto"/>
            <w:noWrap/>
            <w:hideMark/>
          </w:tcPr>
          <w:p w:rsidR="00095EF9" w:rsidRPr="00D019C2" w:rsidRDefault="00095EF9" w:rsidP="00D019C2">
            <w:pPr>
              <w:spacing w:beforeLines="50" w:before="120" w:afterLines="50" w:after="120"/>
              <w:jc w:val="center"/>
              <w:rPr>
                <w:rFonts w:ascii="Times New Roman" w:eastAsia="Times New Roman" w:hAnsi="Times New Roman" w:cs="Times New Roman"/>
                <w:color w:val="000000"/>
                <w:sz w:val="24"/>
              </w:rPr>
            </w:pPr>
          </w:p>
        </w:tc>
        <w:tc>
          <w:tcPr>
            <w:tcW w:w="1495" w:type="dxa"/>
            <w:tcBorders>
              <w:left w:val="none" w:sz="0" w:space="0" w:color="auto"/>
              <w:bottom w:val="nil"/>
              <w:right w:val="none" w:sz="0" w:space="0" w:color="auto"/>
            </w:tcBorders>
            <w:shd w:val="clear" w:color="auto" w:fill="auto"/>
            <w:noWrap/>
            <w:hideMark/>
          </w:tcPr>
          <w:p w:rsidR="00095EF9" w:rsidRPr="006156AB" w:rsidRDefault="00095EF9" w:rsidP="00D019C2">
            <w:pPr>
              <w:spacing w:beforeLines="50" w:before="120" w:afterLines="5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color w:val="000000"/>
                <w:sz w:val="24"/>
              </w:rPr>
            </w:pPr>
            <w:r w:rsidRPr="006156AB">
              <w:rPr>
                <w:rFonts w:ascii="Times New Roman" w:eastAsia="Times New Roman" w:hAnsi="Times New Roman" w:cs="Times New Roman"/>
                <w:b w:val="0"/>
                <w:i/>
                <w:color w:val="000000"/>
                <w:sz w:val="24"/>
              </w:rPr>
              <w:t>R Square</w:t>
            </w:r>
          </w:p>
        </w:tc>
        <w:tc>
          <w:tcPr>
            <w:tcW w:w="2410" w:type="dxa"/>
            <w:gridSpan w:val="2"/>
            <w:tcBorders>
              <w:left w:val="none" w:sz="0" w:space="0" w:color="auto"/>
              <w:bottom w:val="nil"/>
              <w:right w:val="none" w:sz="0" w:space="0" w:color="auto"/>
            </w:tcBorders>
            <w:shd w:val="clear" w:color="auto" w:fill="auto"/>
            <w:noWrap/>
            <w:hideMark/>
          </w:tcPr>
          <w:p w:rsidR="00095EF9" w:rsidRPr="006156AB" w:rsidRDefault="00095EF9" w:rsidP="00D019C2">
            <w:pPr>
              <w:spacing w:beforeLines="50" w:before="120" w:afterLines="5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color w:val="000000"/>
                <w:sz w:val="24"/>
              </w:rPr>
            </w:pPr>
            <w:r w:rsidRPr="006156AB">
              <w:rPr>
                <w:rFonts w:ascii="Times New Roman" w:eastAsia="Times New Roman" w:hAnsi="Times New Roman" w:cs="Times New Roman"/>
                <w:b w:val="0"/>
                <w:i/>
                <w:color w:val="000000"/>
                <w:sz w:val="24"/>
              </w:rPr>
              <w:t>R Square Adjusted</w:t>
            </w:r>
          </w:p>
        </w:tc>
      </w:tr>
      <w:tr w:rsidR="006156AB" w:rsidRPr="00D019C2" w:rsidTr="006156AB">
        <w:trPr>
          <w:gridAfter w:val="1"/>
          <w:cnfStyle w:val="000000100000" w:firstRow="0" w:lastRow="0" w:firstColumn="0" w:lastColumn="0" w:oddVBand="0" w:evenVBand="0" w:oddHBand="1" w:evenHBand="0" w:firstRowFirstColumn="0" w:firstRowLastColumn="0" w:lastRowFirstColumn="0" w:lastRowLastColumn="0"/>
          <w:wAfter w:w="1224" w:type="dxa"/>
          <w:trHeight w:val="307"/>
        </w:trPr>
        <w:tc>
          <w:tcPr>
            <w:cnfStyle w:val="001000000000" w:firstRow="0" w:lastRow="0" w:firstColumn="1" w:lastColumn="0" w:oddVBand="0" w:evenVBand="0" w:oddHBand="0" w:evenHBand="0" w:firstRowFirstColumn="0" w:firstRowLastColumn="0" w:lastRowFirstColumn="0" w:lastRowLastColumn="0"/>
            <w:tcW w:w="1624" w:type="dxa"/>
            <w:tcBorders>
              <w:top w:val="single" w:sz="4" w:space="0" w:color="auto"/>
              <w:bottom w:val="single" w:sz="4" w:space="0" w:color="auto"/>
            </w:tcBorders>
            <w:shd w:val="clear" w:color="auto" w:fill="auto"/>
            <w:noWrap/>
            <w:vAlign w:val="center"/>
            <w:hideMark/>
          </w:tcPr>
          <w:p w:rsidR="006156AB" w:rsidRPr="00D019C2" w:rsidRDefault="006156AB" w:rsidP="00D019C2">
            <w:pPr>
              <w:spacing w:beforeLines="50" w:before="120" w:afterLines="50" w:after="120"/>
              <w:jc w:val="center"/>
              <w:rPr>
                <w:rFonts w:ascii="Times New Roman" w:eastAsia="Times New Roman" w:hAnsi="Times New Roman" w:cs="Times New Roman"/>
                <w:b w:val="0"/>
                <w:color w:val="000000"/>
                <w:sz w:val="24"/>
              </w:rPr>
            </w:pPr>
            <w:r w:rsidRPr="00D019C2">
              <w:rPr>
                <w:rFonts w:ascii="Times New Roman" w:hAnsi="Times New Roman" w:cs="Times New Roman"/>
                <w:b w:val="0"/>
                <w:color w:val="000000" w:themeColor="text1"/>
                <w:sz w:val="24"/>
              </w:rPr>
              <w:t>Customer Satisfaction</w:t>
            </w:r>
          </w:p>
        </w:tc>
        <w:tc>
          <w:tcPr>
            <w:tcW w:w="1495" w:type="dxa"/>
            <w:tcBorders>
              <w:top w:val="single" w:sz="4" w:space="0" w:color="auto"/>
              <w:bottom w:val="single" w:sz="4" w:space="0" w:color="auto"/>
            </w:tcBorders>
            <w:shd w:val="clear" w:color="auto" w:fill="auto"/>
            <w:noWrap/>
            <w:vAlign w:val="center"/>
            <w:hideMark/>
          </w:tcPr>
          <w:p w:rsidR="006156AB" w:rsidRPr="00D019C2" w:rsidRDefault="006156AB" w:rsidP="00D019C2">
            <w:pPr>
              <w:spacing w:beforeLines="50" w:before="120"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D019C2">
              <w:rPr>
                <w:rFonts w:ascii="Times New Roman" w:eastAsia="Times New Roman" w:hAnsi="Times New Roman" w:cs="Times New Roman"/>
                <w:color w:val="000000" w:themeColor="text1"/>
                <w:sz w:val="24"/>
              </w:rPr>
              <w:t>0.869</w:t>
            </w:r>
          </w:p>
        </w:tc>
        <w:tc>
          <w:tcPr>
            <w:tcW w:w="1186" w:type="dxa"/>
            <w:tcBorders>
              <w:top w:val="single" w:sz="4" w:space="0" w:color="auto"/>
              <w:bottom w:val="single" w:sz="4" w:space="0" w:color="auto"/>
            </w:tcBorders>
            <w:shd w:val="clear" w:color="auto" w:fill="auto"/>
            <w:noWrap/>
            <w:vAlign w:val="center"/>
            <w:hideMark/>
          </w:tcPr>
          <w:p w:rsidR="006156AB" w:rsidRPr="00D019C2" w:rsidRDefault="006156AB" w:rsidP="00D019C2">
            <w:pPr>
              <w:spacing w:beforeLines="50" w:before="120"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D019C2">
              <w:rPr>
                <w:rFonts w:ascii="Times New Roman" w:eastAsia="Times New Roman" w:hAnsi="Times New Roman" w:cs="Times New Roman"/>
                <w:color w:val="000000" w:themeColor="text1"/>
                <w:sz w:val="24"/>
              </w:rPr>
              <w:t>0.865</w:t>
            </w:r>
          </w:p>
        </w:tc>
      </w:tr>
    </w:tbl>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R Square Adjusted customer satisfaction variable value of 0.865 means the contribution of reliability, efficiency, security, responsiveness and web design variables to customer satisfaction by 86.5%. </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While the remaining 13.5% contribution to customer satisfaction variables is filled by variables other than reliability, efficiency, security, responsiveness and web design.</w:t>
      </w:r>
    </w:p>
    <w:p w:rsidR="00095EF9" w:rsidRPr="00A50080" w:rsidRDefault="00A50080" w:rsidP="00D019C2">
      <w:pPr>
        <w:spacing w:beforeLines="50" w:before="120" w:afterLines="50" w:after="120"/>
        <w:ind w:right="119"/>
        <w:rPr>
          <w:rFonts w:eastAsia="Times New Roman"/>
          <w:bCs/>
          <w:i/>
          <w:iCs/>
          <w:sz w:val="24"/>
        </w:rPr>
      </w:pPr>
      <w:r>
        <w:rPr>
          <w:rFonts w:eastAsia="Times New Roman"/>
          <w:bCs/>
          <w:i/>
          <w:iCs/>
          <w:sz w:val="24"/>
        </w:rPr>
        <w:t xml:space="preserve">4.3 </w:t>
      </w:r>
      <w:r w:rsidR="00095EF9" w:rsidRPr="00A50080">
        <w:rPr>
          <w:rFonts w:eastAsia="Times New Roman"/>
          <w:bCs/>
          <w:i/>
          <w:iCs/>
          <w:sz w:val="24"/>
        </w:rPr>
        <w:t>Hypothesis Testing</w:t>
      </w:r>
    </w:p>
    <w:p w:rsidR="00095EF9" w:rsidRDefault="00095EF9" w:rsidP="00A50080">
      <w:pPr>
        <w:spacing w:beforeLines="50" w:before="120" w:afterLines="50" w:after="120"/>
        <w:ind w:right="119"/>
        <w:rPr>
          <w:rFonts w:eastAsia="Times New Roman"/>
          <w:sz w:val="24"/>
        </w:rPr>
      </w:pPr>
      <w:r w:rsidRPr="00D019C2">
        <w:rPr>
          <w:rFonts w:eastAsia="Times New Roman"/>
          <w:sz w:val="24"/>
        </w:rPr>
        <w:t>Hypotheses in this study were tested using statistical testing of the t test. Known t</w:t>
      </w:r>
      <w:r w:rsidRPr="00D019C2">
        <w:rPr>
          <w:rFonts w:eastAsia="Times New Roman"/>
          <w:sz w:val="24"/>
          <w:vertAlign w:val="subscript"/>
        </w:rPr>
        <w:t>table</w:t>
      </w:r>
      <w:r w:rsidRPr="00D019C2">
        <w:rPr>
          <w:rFonts w:eastAsia="Times New Roman"/>
          <w:sz w:val="24"/>
        </w:rPr>
        <w:t xml:space="preserve"> of 1,975 obtained from the formula </w:t>
      </w:r>
      <w:proofErr w:type="gramStart"/>
      <w:r w:rsidRPr="00D019C2">
        <w:rPr>
          <w:rFonts w:eastAsia="Times New Roman"/>
          <w:sz w:val="24"/>
        </w:rPr>
        <w:t>df</w:t>
      </w:r>
      <w:proofErr w:type="gramEnd"/>
      <w:r w:rsidRPr="00D019C2">
        <w:rPr>
          <w:rFonts w:eastAsia="Times New Roman"/>
          <w:sz w:val="24"/>
        </w:rPr>
        <w:t xml:space="preserve"> = number of samples - number of variables or df = N – K so as to produce df = 160 – 6 = 154, then connected by the degree of error by 5% or 0.05. The results of data processing for significance testing (test t) can be seen in table 4.</w:t>
      </w:r>
    </w:p>
    <w:p w:rsidR="00167801" w:rsidRPr="00FA4A6C" w:rsidRDefault="00167801" w:rsidP="00167801">
      <w:pPr>
        <w:ind w:left="-432" w:right="119" w:firstLine="426"/>
        <w:rPr>
          <w:rFonts w:eastAsia="Times New Roman"/>
          <w:b/>
          <w:bCs/>
          <w:sz w:val="24"/>
        </w:rPr>
      </w:pPr>
      <w:r>
        <w:rPr>
          <w:rFonts w:eastAsia="Times New Roman"/>
          <w:sz w:val="24"/>
        </w:rPr>
        <w:t xml:space="preserve">Table 4. </w:t>
      </w:r>
      <w:r w:rsidRPr="005933B4">
        <w:rPr>
          <w:rFonts w:eastAsia="Times New Roman"/>
          <w:bCs/>
          <w:sz w:val="24"/>
        </w:rPr>
        <w:t xml:space="preserve"> </w:t>
      </w:r>
      <w:r w:rsidR="005933B4">
        <w:rPr>
          <w:rFonts w:eastAsia="Times New Roman"/>
          <w:bCs/>
          <w:sz w:val="24"/>
        </w:rPr>
        <w:t xml:space="preserve">t </w:t>
      </w:r>
      <w:r w:rsidRPr="005933B4">
        <w:rPr>
          <w:rFonts w:eastAsia="Times New Roman"/>
          <w:bCs/>
          <w:sz w:val="24"/>
        </w:rPr>
        <w:t>-</w:t>
      </w:r>
      <w:r w:rsidR="005933B4">
        <w:rPr>
          <w:rFonts w:eastAsia="Times New Roman"/>
          <w:bCs/>
          <w:sz w:val="24"/>
        </w:rPr>
        <w:t xml:space="preserve"> </w:t>
      </w:r>
      <w:proofErr w:type="gramStart"/>
      <w:r w:rsidR="005933B4">
        <w:rPr>
          <w:rFonts w:eastAsia="Times New Roman"/>
          <w:bCs/>
          <w:sz w:val="24"/>
        </w:rPr>
        <w:t>s</w:t>
      </w:r>
      <w:r w:rsidRPr="005933B4">
        <w:rPr>
          <w:rFonts w:eastAsia="Times New Roman"/>
          <w:bCs/>
          <w:sz w:val="24"/>
        </w:rPr>
        <w:t>tatistic</w:t>
      </w:r>
      <w:proofErr w:type="gramEnd"/>
    </w:p>
    <w:tbl>
      <w:tblPr>
        <w:tblpPr w:leftFromText="180" w:rightFromText="180" w:vertAnchor="page" w:horzAnchor="margin" w:tblpY="5746"/>
        <w:tblW w:w="8800" w:type="dxa"/>
        <w:tblLook w:val="04A0" w:firstRow="1" w:lastRow="0" w:firstColumn="1" w:lastColumn="0" w:noHBand="0" w:noVBand="1"/>
      </w:tblPr>
      <w:tblGrid>
        <w:gridCol w:w="4480"/>
        <w:gridCol w:w="1512"/>
        <w:gridCol w:w="1536"/>
        <w:gridCol w:w="1272"/>
      </w:tblGrid>
      <w:tr w:rsidR="006156AB" w:rsidRPr="00D019C2" w:rsidTr="006156AB">
        <w:trPr>
          <w:trHeight w:val="516"/>
        </w:trPr>
        <w:tc>
          <w:tcPr>
            <w:tcW w:w="4480" w:type="dxa"/>
            <w:vMerge w:val="restart"/>
            <w:tcBorders>
              <w:top w:val="single" w:sz="4" w:space="0" w:color="auto"/>
              <w:left w:val="nil"/>
              <w:bottom w:val="single" w:sz="4" w:space="0" w:color="000000"/>
              <w:right w:val="nil"/>
            </w:tcBorders>
            <w:shd w:val="clear" w:color="auto" w:fill="auto"/>
            <w:vAlign w:val="center"/>
            <w:hideMark/>
          </w:tcPr>
          <w:p w:rsidR="006156AB" w:rsidRPr="00D019C2" w:rsidRDefault="006156AB" w:rsidP="006156AB">
            <w:pPr>
              <w:spacing w:beforeLines="50" w:before="120" w:afterLines="50" w:after="120"/>
              <w:jc w:val="center"/>
              <w:rPr>
                <w:b/>
                <w:bCs/>
                <w:color w:val="000000"/>
                <w:sz w:val="24"/>
              </w:rPr>
            </w:pPr>
          </w:p>
        </w:tc>
        <w:tc>
          <w:tcPr>
            <w:tcW w:w="1512" w:type="dxa"/>
            <w:vMerge w:val="restart"/>
            <w:tcBorders>
              <w:top w:val="single" w:sz="4" w:space="0" w:color="auto"/>
              <w:left w:val="nil"/>
              <w:bottom w:val="single" w:sz="4" w:space="0" w:color="000000"/>
              <w:right w:val="nil"/>
            </w:tcBorders>
            <w:shd w:val="clear" w:color="auto" w:fill="auto"/>
            <w:vAlign w:val="center"/>
            <w:hideMark/>
          </w:tcPr>
          <w:p w:rsidR="006156AB" w:rsidRPr="00A50080" w:rsidRDefault="006156AB" w:rsidP="006156AB">
            <w:pPr>
              <w:spacing w:beforeLines="50" w:before="120" w:afterLines="50" w:after="120"/>
              <w:jc w:val="center"/>
              <w:rPr>
                <w:bCs/>
                <w:color w:val="000000"/>
                <w:sz w:val="24"/>
              </w:rPr>
            </w:pPr>
            <w:r w:rsidRPr="00A50080">
              <w:rPr>
                <w:bCs/>
                <w:i/>
                <w:iCs/>
                <w:color w:val="000000"/>
                <w:sz w:val="24"/>
              </w:rPr>
              <w:t>Original Sample</w:t>
            </w:r>
            <w:r w:rsidRPr="00A50080">
              <w:rPr>
                <w:bCs/>
                <w:color w:val="000000"/>
                <w:sz w:val="24"/>
              </w:rPr>
              <w:t xml:space="preserve"> (O)</w:t>
            </w:r>
          </w:p>
        </w:tc>
        <w:tc>
          <w:tcPr>
            <w:tcW w:w="1536" w:type="dxa"/>
            <w:vMerge w:val="restart"/>
            <w:tcBorders>
              <w:top w:val="single" w:sz="4" w:space="0" w:color="auto"/>
              <w:left w:val="nil"/>
              <w:bottom w:val="single" w:sz="4" w:space="0" w:color="000000"/>
              <w:right w:val="nil"/>
            </w:tcBorders>
            <w:shd w:val="clear" w:color="auto" w:fill="auto"/>
            <w:vAlign w:val="center"/>
            <w:hideMark/>
          </w:tcPr>
          <w:p w:rsidR="006156AB" w:rsidRPr="00A50080" w:rsidRDefault="006156AB" w:rsidP="006156AB">
            <w:pPr>
              <w:spacing w:beforeLines="50" w:before="120" w:afterLines="50" w:after="120"/>
              <w:jc w:val="center"/>
              <w:rPr>
                <w:bCs/>
                <w:color w:val="000000"/>
                <w:sz w:val="24"/>
              </w:rPr>
            </w:pPr>
            <w:r w:rsidRPr="00A50080">
              <w:rPr>
                <w:bCs/>
                <w:color w:val="000000"/>
                <w:sz w:val="24"/>
              </w:rPr>
              <w:t>T Statistic (|O/STDEV|)</w:t>
            </w:r>
          </w:p>
        </w:tc>
        <w:tc>
          <w:tcPr>
            <w:tcW w:w="1272" w:type="dxa"/>
            <w:vMerge w:val="restart"/>
            <w:tcBorders>
              <w:top w:val="single" w:sz="4" w:space="0" w:color="auto"/>
              <w:left w:val="nil"/>
              <w:bottom w:val="single" w:sz="4" w:space="0" w:color="000000"/>
              <w:right w:val="nil"/>
            </w:tcBorders>
            <w:shd w:val="clear" w:color="auto" w:fill="auto"/>
            <w:noWrap/>
            <w:vAlign w:val="center"/>
            <w:hideMark/>
          </w:tcPr>
          <w:p w:rsidR="006156AB" w:rsidRPr="00A50080" w:rsidRDefault="006156AB" w:rsidP="006156AB">
            <w:pPr>
              <w:spacing w:beforeLines="50" w:before="120" w:afterLines="50" w:after="120"/>
              <w:jc w:val="center"/>
              <w:rPr>
                <w:bCs/>
                <w:i/>
                <w:iCs/>
                <w:color w:val="000000"/>
                <w:sz w:val="24"/>
              </w:rPr>
            </w:pPr>
            <w:r w:rsidRPr="00A50080">
              <w:rPr>
                <w:bCs/>
                <w:i/>
                <w:iCs/>
                <w:color w:val="000000"/>
                <w:sz w:val="24"/>
              </w:rPr>
              <w:t>P Value</w:t>
            </w:r>
          </w:p>
        </w:tc>
      </w:tr>
      <w:tr w:rsidR="006156AB" w:rsidRPr="00D019C2" w:rsidTr="006156AB">
        <w:trPr>
          <w:trHeight w:val="516"/>
        </w:trPr>
        <w:tc>
          <w:tcPr>
            <w:tcW w:w="4480" w:type="dxa"/>
            <w:vMerge/>
            <w:tcBorders>
              <w:top w:val="single" w:sz="4" w:space="0" w:color="auto"/>
              <w:left w:val="nil"/>
              <w:bottom w:val="single" w:sz="4" w:space="0" w:color="000000"/>
              <w:right w:val="nil"/>
            </w:tcBorders>
            <w:vAlign w:val="center"/>
            <w:hideMark/>
          </w:tcPr>
          <w:p w:rsidR="006156AB" w:rsidRPr="00D019C2" w:rsidRDefault="006156AB" w:rsidP="006156AB">
            <w:pPr>
              <w:spacing w:beforeLines="50" w:before="120" w:afterLines="50" w:after="120"/>
              <w:rPr>
                <w:b/>
                <w:bCs/>
                <w:color w:val="000000"/>
                <w:sz w:val="24"/>
              </w:rPr>
            </w:pPr>
          </w:p>
        </w:tc>
        <w:tc>
          <w:tcPr>
            <w:tcW w:w="1512" w:type="dxa"/>
            <w:vMerge/>
            <w:tcBorders>
              <w:top w:val="single" w:sz="4" w:space="0" w:color="auto"/>
              <w:left w:val="nil"/>
              <w:bottom w:val="single" w:sz="4" w:space="0" w:color="000000"/>
              <w:right w:val="nil"/>
            </w:tcBorders>
            <w:vAlign w:val="center"/>
            <w:hideMark/>
          </w:tcPr>
          <w:p w:rsidR="006156AB" w:rsidRPr="00D019C2" w:rsidRDefault="006156AB" w:rsidP="006156AB">
            <w:pPr>
              <w:spacing w:beforeLines="50" w:before="120" w:afterLines="50" w:after="120"/>
              <w:rPr>
                <w:b/>
                <w:bCs/>
                <w:color w:val="000000"/>
                <w:sz w:val="24"/>
              </w:rPr>
            </w:pPr>
          </w:p>
        </w:tc>
        <w:tc>
          <w:tcPr>
            <w:tcW w:w="1536" w:type="dxa"/>
            <w:vMerge/>
            <w:tcBorders>
              <w:top w:val="single" w:sz="4" w:space="0" w:color="auto"/>
              <w:left w:val="nil"/>
              <w:bottom w:val="single" w:sz="4" w:space="0" w:color="000000"/>
              <w:right w:val="nil"/>
            </w:tcBorders>
            <w:vAlign w:val="center"/>
            <w:hideMark/>
          </w:tcPr>
          <w:p w:rsidR="006156AB" w:rsidRPr="00D019C2" w:rsidRDefault="006156AB" w:rsidP="006156AB">
            <w:pPr>
              <w:spacing w:beforeLines="50" w:before="120" w:afterLines="50" w:after="120"/>
              <w:rPr>
                <w:b/>
                <w:bCs/>
                <w:color w:val="000000"/>
                <w:sz w:val="24"/>
              </w:rPr>
            </w:pPr>
          </w:p>
        </w:tc>
        <w:tc>
          <w:tcPr>
            <w:tcW w:w="1272" w:type="dxa"/>
            <w:vMerge/>
            <w:tcBorders>
              <w:top w:val="single" w:sz="4" w:space="0" w:color="auto"/>
              <w:left w:val="nil"/>
              <w:bottom w:val="single" w:sz="4" w:space="0" w:color="000000"/>
              <w:right w:val="nil"/>
            </w:tcBorders>
            <w:vAlign w:val="center"/>
            <w:hideMark/>
          </w:tcPr>
          <w:p w:rsidR="006156AB" w:rsidRPr="00D019C2" w:rsidRDefault="006156AB" w:rsidP="006156AB">
            <w:pPr>
              <w:spacing w:beforeLines="50" w:before="120" w:afterLines="50" w:after="120"/>
              <w:rPr>
                <w:b/>
                <w:bCs/>
                <w:color w:val="000000"/>
                <w:sz w:val="24"/>
              </w:rPr>
            </w:pPr>
          </w:p>
        </w:tc>
      </w:tr>
      <w:tr w:rsidR="006156AB" w:rsidRPr="00D019C2" w:rsidTr="006156AB">
        <w:trPr>
          <w:trHeight w:val="189"/>
        </w:trPr>
        <w:tc>
          <w:tcPr>
            <w:tcW w:w="4480" w:type="dxa"/>
            <w:tcBorders>
              <w:top w:val="nil"/>
              <w:left w:val="nil"/>
              <w:bottom w:val="nil"/>
              <w:right w:val="nil"/>
            </w:tcBorders>
            <w:shd w:val="clear" w:color="auto" w:fill="auto"/>
            <w:noWrap/>
            <w:vAlign w:val="center"/>
            <w:hideMark/>
          </w:tcPr>
          <w:p w:rsidR="006156AB" w:rsidRPr="00D019C2" w:rsidRDefault="006156AB" w:rsidP="006156AB">
            <w:pPr>
              <w:spacing w:beforeLines="50" w:before="120" w:afterLines="50" w:after="120"/>
              <w:rPr>
                <w:color w:val="000000"/>
                <w:sz w:val="24"/>
              </w:rPr>
            </w:pPr>
            <w:r w:rsidRPr="00D019C2">
              <w:rPr>
                <w:color w:val="000000"/>
                <w:sz w:val="24"/>
              </w:rPr>
              <w:t>Reliability -&gt; Customer Satisfaction</w:t>
            </w:r>
          </w:p>
        </w:tc>
        <w:tc>
          <w:tcPr>
            <w:tcW w:w="1512" w:type="dxa"/>
            <w:tcBorders>
              <w:top w:val="nil"/>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0,567</w:t>
            </w:r>
          </w:p>
        </w:tc>
        <w:tc>
          <w:tcPr>
            <w:tcW w:w="1536" w:type="dxa"/>
            <w:tcBorders>
              <w:top w:val="nil"/>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4,940</w:t>
            </w:r>
          </w:p>
        </w:tc>
        <w:tc>
          <w:tcPr>
            <w:tcW w:w="1272" w:type="dxa"/>
            <w:tcBorders>
              <w:top w:val="nil"/>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0,000</w:t>
            </w:r>
          </w:p>
        </w:tc>
      </w:tr>
      <w:tr w:rsidR="006156AB" w:rsidRPr="00D019C2" w:rsidTr="006156AB">
        <w:trPr>
          <w:trHeight w:val="189"/>
        </w:trPr>
        <w:tc>
          <w:tcPr>
            <w:tcW w:w="4480"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rPr>
                <w:color w:val="000000"/>
                <w:sz w:val="24"/>
              </w:rPr>
            </w:pPr>
            <w:r w:rsidRPr="00D019C2">
              <w:rPr>
                <w:color w:val="000000"/>
                <w:sz w:val="24"/>
              </w:rPr>
              <w:t>Efficiency -&gt; Customer Satisfaction</w:t>
            </w:r>
          </w:p>
        </w:tc>
        <w:tc>
          <w:tcPr>
            <w:tcW w:w="1512"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0,173</w:t>
            </w:r>
          </w:p>
        </w:tc>
        <w:tc>
          <w:tcPr>
            <w:tcW w:w="1536"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1,314</w:t>
            </w:r>
          </w:p>
        </w:tc>
        <w:tc>
          <w:tcPr>
            <w:tcW w:w="1272"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0,189</w:t>
            </w:r>
          </w:p>
        </w:tc>
      </w:tr>
      <w:tr w:rsidR="006156AB" w:rsidRPr="00D019C2" w:rsidTr="006156AB">
        <w:trPr>
          <w:trHeight w:val="333"/>
        </w:trPr>
        <w:tc>
          <w:tcPr>
            <w:tcW w:w="4480"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rPr>
                <w:color w:val="000000"/>
                <w:sz w:val="24"/>
              </w:rPr>
            </w:pPr>
            <w:r w:rsidRPr="00D019C2">
              <w:rPr>
                <w:color w:val="000000"/>
                <w:sz w:val="24"/>
              </w:rPr>
              <w:t>Security -&gt; Customer Satisfaction</w:t>
            </w:r>
          </w:p>
        </w:tc>
        <w:tc>
          <w:tcPr>
            <w:tcW w:w="1512"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0,072</w:t>
            </w:r>
          </w:p>
        </w:tc>
        <w:tc>
          <w:tcPr>
            <w:tcW w:w="1536"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0,846</w:t>
            </w:r>
          </w:p>
        </w:tc>
        <w:tc>
          <w:tcPr>
            <w:tcW w:w="1272"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0,398</w:t>
            </w:r>
          </w:p>
        </w:tc>
      </w:tr>
      <w:tr w:rsidR="006156AB" w:rsidRPr="00D019C2" w:rsidTr="006156AB">
        <w:trPr>
          <w:trHeight w:val="189"/>
        </w:trPr>
        <w:tc>
          <w:tcPr>
            <w:tcW w:w="4480"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rPr>
                <w:color w:val="000000"/>
                <w:sz w:val="24"/>
              </w:rPr>
            </w:pPr>
            <w:r w:rsidRPr="00D019C2">
              <w:rPr>
                <w:color w:val="000000"/>
                <w:sz w:val="24"/>
              </w:rPr>
              <w:t>Responsiveness -&gt; Customer Satisfaction</w:t>
            </w:r>
          </w:p>
        </w:tc>
        <w:tc>
          <w:tcPr>
            <w:tcW w:w="1512"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0,077</w:t>
            </w:r>
          </w:p>
        </w:tc>
        <w:tc>
          <w:tcPr>
            <w:tcW w:w="1536"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0,709</w:t>
            </w:r>
          </w:p>
        </w:tc>
        <w:tc>
          <w:tcPr>
            <w:tcW w:w="1272" w:type="dxa"/>
            <w:tcBorders>
              <w:top w:val="single" w:sz="4" w:space="0" w:color="auto"/>
              <w:left w:val="nil"/>
              <w:bottom w:val="nil"/>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0,478</w:t>
            </w:r>
          </w:p>
        </w:tc>
      </w:tr>
      <w:tr w:rsidR="006156AB" w:rsidRPr="00D019C2" w:rsidTr="006156AB">
        <w:trPr>
          <w:trHeight w:val="282"/>
        </w:trPr>
        <w:tc>
          <w:tcPr>
            <w:tcW w:w="4480" w:type="dxa"/>
            <w:tcBorders>
              <w:top w:val="single" w:sz="4" w:space="0" w:color="auto"/>
              <w:left w:val="nil"/>
              <w:bottom w:val="single" w:sz="4" w:space="0" w:color="auto"/>
              <w:right w:val="nil"/>
            </w:tcBorders>
            <w:shd w:val="clear" w:color="auto" w:fill="auto"/>
            <w:noWrap/>
            <w:vAlign w:val="center"/>
            <w:hideMark/>
          </w:tcPr>
          <w:p w:rsidR="006156AB" w:rsidRPr="00D019C2" w:rsidRDefault="006156AB" w:rsidP="006156AB">
            <w:pPr>
              <w:spacing w:beforeLines="50" w:before="120" w:afterLines="50" w:after="120"/>
              <w:rPr>
                <w:color w:val="000000"/>
                <w:sz w:val="24"/>
              </w:rPr>
            </w:pPr>
            <w:r w:rsidRPr="00D019C2">
              <w:rPr>
                <w:color w:val="000000"/>
                <w:sz w:val="24"/>
              </w:rPr>
              <w:t>Web design -&gt; Customer Satisfaction</w:t>
            </w:r>
          </w:p>
        </w:tc>
        <w:tc>
          <w:tcPr>
            <w:tcW w:w="1512" w:type="dxa"/>
            <w:tcBorders>
              <w:top w:val="single" w:sz="4" w:space="0" w:color="auto"/>
              <w:left w:val="nil"/>
              <w:bottom w:val="single" w:sz="4" w:space="0" w:color="auto"/>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0,086</w:t>
            </w:r>
          </w:p>
        </w:tc>
        <w:tc>
          <w:tcPr>
            <w:tcW w:w="1536" w:type="dxa"/>
            <w:tcBorders>
              <w:top w:val="single" w:sz="4" w:space="0" w:color="auto"/>
              <w:left w:val="nil"/>
              <w:bottom w:val="single" w:sz="4" w:space="0" w:color="auto"/>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0,761</w:t>
            </w:r>
          </w:p>
        </w:tc>
        <w:tc>
          <w:tcPr>
            <w:tcW w:w="1272" w:type="dxa"/>
            <w:tcBorders>
              <w:top w:val="single" w:sz="4" w:space="0" w:color="auto"/>
              <w:left w:val="nil"/>
              <w:bottom w:val="single" w:sz="4" w:space="0" w:color="auto"/>
              <w:right w:val="nil"/>
            </w:tcBorders>
            <w:shd w:val="clear" w:color="auto" w:fill="auto"/>
            <w:noWrap/>
            <w:vAlign w:val="center"/>
            <w:hideMark/>
          </w:tcPr>
          <w:p w:rsidR="006156AB" w:rsidRPr="00D019C2" w:rsidRDefault="006156AB" w:rsidP="006156AB">
            <w:pPr>
              <w:spacing w:beforeLines="50" w:before="120" w:afterLines="50" w:after="120"/>
              <w:jc w:val="center"/>
              <w:rPr>
                <w:color w:val="000000"/>
                <w:sz w:val="24"/>
              </w:rPr>
            </w:pPr>
            <w:r w:rsidRPr="00D019C2">
              <w:rPr>
                <w:color w:val="000000"/>
                <w:sz w:val="24"/>
              </w:rPr>
              <w:t>0,447</w:t>
            </w:r>
          </w:p>
        </w:tc>
      </w:tr>
    </w:tbl>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Based on the results of research shows that reliability has an influence on customer satisfaction, meaning reliability is one of the elements that can cause customer satisfaction, especially in Pegadaian Digital services. The statement is supported by the results of the t-statistics test with t-statistic value showing that t</w:t>
      </w:r>
      <w:r w:rsidRPr="00D019C2">
        <w:rPr>
          <w:rFonts w:eastAsia="Times New Roman"/>
          <w:sz w:val="24"/>
          <w:vertAlign w:val="subscript"/>
        </w:rPr>
        <w:t>count</w:t>
      </w:r>
      <w:r w:rsidRPr="00D019C2">
        <w:rPr>
          <w:rFonts w:eastAsia="Times New Roman"/>
          <w:sz w:val="24"/>
        </w:rPr>
        <w:t xml:space="preserve"> 4,940 </w:t>
      </w:r>
      <w:proofErr w:type="gramStart"/>
      <w:r w:rsidRPr="00D019C2">
        <w:rPr>
          <w:rFonts w:eastAsia="Times New Roman"/>
          <w:sz w:val="24"/>
        </w:rPr>
        <w:t>&gt;  t</w:t>
      </w:r>
      <w:r w:rsidRPr="00D019C2">
        <w:rPr>
          <w:rFonts w:eastAsia="Times New Roman"/>
          <w:sz w:val="24"/>
          <w:vertAlign w:val="subscript"/>
        </w:rPr>
        <w:t>tabel</w:t>
      </w:r>
      <w:proofErr w:type="gramEnd"/>
      <w:r w:rsidRPr="00D019C2">
        <w:rPr>
          <w:rFonts w:eastAsia="Times New Roman"/>
          <w:sz w:val="24"/>
        </w:rPr>
        <w:t xml:space="preserve"> 1,975 and P Value of 0.000 &lt; 0.05. This means that the H1 hypothesis is accepted.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result of the original value sample reliability has a positive relationship to customer satisfaction, this means that if the Pegadaian Digital service is more reliable then the level of satisfaction with the service will increase. These results provide empirical evidence that the reliability of digital banking services such as speed, convenience, cost and conformity with expectations are indicators that can improve customer satisfaction </w:t>
      </w:r>
      <w:r w:rsidRPr="00D019C2">
        <w:rPr>
          <w:rFonts w:eastAsia="Times New Roman"/>
          <w:sz w:val="24"/>
        </w:rPr>
        <w:fldChar w:fldCharType="begin" w:fldLock="1"/>
      </w:r>
      <w:r w:rsidRPr="00D019C2">
        <w:rPr>
          <w:rFonts w:eastAsia="Times New Roman"/>
          <w:sz w:val="24"/>
        </w:rPr>
        <w:instrText>ADDIN CSL_CITATION {"citationItems":[{"id":"ITEM-1","itemData":{"DOI":"10.32497/keunis.v7i1.1527","ISSN":"2302-9315","abstract":"The Internet is an ideal media to take any banking activities due to it has the potential cost savings. Internet also one of the media used to improve services for the customers in order to reach customer loyalty. The function not only for giving information, but it also can handle banking transactions anytime and anywhere without being limited by time and distance. This study aims to determine how the influence of service quality of internet banking, customer satisfaction, and customer loyalty at Bank Rakyat Indonesia Sub-Branch Jamsostek. Sampling technique used was nonprobability sampling method. There 105 respondents were given questionnaire. The analysis of data is using SEM analysis (Structural Equation Modeling) with AMOS program. The results indicated that the variable of service quality of internet banking has positive and significant influence on customer satisfaction. Customer satisfaction has negative significantly correlated with customer loyalty. This result confirms that the service quality of internet banking has no significant direct influence on customer loyalty but it has a significant influence indirectly through customer satisfaction as mediating (intervening variable).","author":[{"dropping-particle":"","family":"Huda","given":"Ahmad N.","non-dropping-particle":"","parse-names":false,"suffix":""},{"dropping-particle":"","family":"Wahyuni","given":"Sri","non-dropping-particle":"","parse-names":false,"suffix":""}],"container-title":"ABFII Perbanas Jakarta","id":"ITEM-1","issue":"1","issued":{"date-parts":[["2019"]]},"page":"12","title":"nalisis Pengaruh Kualitas Layanan Internet Banking dan Tingkat Kepuasan Terhadap Loyalitas Nasabah Pada PT Bank Rakyat Indonesia (Persero) Tbk Kantor Cabang Pembantu Jamsostek Jakarta","type":"article-journal","volume":"7"},"uris":["http://www.mendeley.com/documents/?uuid=1444aa39-8c7b-4977-a98b-53fb3a6ec6c7"]}],"mendeley":{"formattedCitation":"(Huda &amp; Wahyuni, 2019)","plainTextFormattedCitation":"(Huda &amp; Wahyuni, 2019)","previouslyFormattedCitation":"(Huda &amp; Wahyuni,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(Huda &amp; Wahyuni, 2019)</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Research </w:t>
      </w:r>
      <w:r w:rsidRPr="00D019C2">
        <w:rPr>
          <w:rFonts w:eastAsia="Times New Roman"/>
          <w:sz w:val="24"/>
        </w:rPr>
        <w:fldChar w:fldCharType="begin" w:fldLock="1"/>
      </w:r>
      <w:r w:rsidRPr="00D019C2">
        <w:rPr>
          <w:rFonts w:eastAsia="Times New Roman"/>
          <w:sz w:val="24"/>
        </w:rPr>
        <w:instrText>ADDIN CSL_CITATION {"citationItems":[{"id":"ITEM-1","itemData":{"DOI":"10.1108/xjm-07-2020-0039","ISSN":"0973-1954","abstract":"Purpose This study aims to empirically explore e-banking service quality and its impact on the e-banking loyalty through a mediating impact of e-banking satisfaction. The account holders of three domestic systemically important banks of Pakistan were surveyed during COVID-19 to examine the electronic services provided by these banks. Design/methodology/approach The data was collected through an adapted questionnaire by using emails and messaging applications. The database of a local marketing company in Pakistan was used, and 976 responses were included in the analysis. The structured equation modeling was used to test the propositions of study. Findings The findings delineate that reliability and website design proved to increase e-banking loyalty, particularly during COVID-19. The link between e-banking privacy and security and e-banking loyalty was proved as fully mediated by e-banking satisfaction; however, indirect effect of the reliability and website design with e-banking loyalty was partially mediated. Practical implications In strategic planning of e-banking mechanisms and the associated consumer behavior, the results of this study can be helpful for policymakers. In case of similar epidemics and natural calamities, consumers may depict similar behavior as shown during the lockdown and social distancing during COVID-19; hence, the study can help regulatory bodies in preparing their safety roadmap. Originality/value The mediating effect of e-banking satisfaction between privacy &amp; Security and e-banking loyalty implies that customer give importance to secure e-banking platforms. There can be a variation in their loyalty because of privacy concerns. The application of cognitive–motivational–relational (CMR) theory in a relationship between e-banking service quality and e-banking loyalty with a mediating role of satisfaction is an emotional response to capture the behavioral changes during COVID-19. It enables researchers to understand the CMR theory concerning COVID-19 and e-banking perspective.","author":[{"dropping-particle":"","family":"Haq","given":"Inzamam UI","non-dropping-particle":"","parse-names":false,"suffix":""},{"dropping-particle":"","family":"Awan","given":"Tahir Mumtaz","non-dropping-particle":"","parse-names":false,"suffix":""}],"container-title":"Vilakshan - XIMB Journal of Management","id":"ITEM-1","issue":"1/2","issued":{"date-parts":[["2020"]]},"page":"39-55","title":"Impact of e-banking service quality on e-loyalty in pandemic times through interplay of e-satisfaction","type":"article-journal","volume":"17"},"uris":["http://www.mendeley.com/documents/?uuid=71463a58-c2d4-496d-b4fc-5eb303fb8b0d"]}],"mendeley":{"formattedCitation":"(Haq &amp; Awan, 2020)","plainTextFormattedCitation":"(Haq &amp; Awan, 2020)","previouslyFormattedCitation":"(Haq &amp; Awan, 2020)"},"properties":{"noteIndex":0},"schema":"https://github.com/citation-style-language/schema/raw/master/csl-citation.json"}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(Haq &amp; Awan, 2020)</w:t>
      </w:r>
      <w:r w:rsidRPr="00D019C2">
        <w:rPr>
          <w:rFonts w:eastAsia="Times New Roman"/>
          <w:sz w:val="24"/>
        </w:rPr>
        <w:fldChar w:fldCharType="end"/>
      </w:r>
      <w:r w:rsidRPr="00D019C2">
        <w:rPr>
          <w:rFonts w:eastAsia="Times New Roman"/>
          <w:sz w:val="24"/>
        </w:rPr>
        <w:t xml:space="preserve">, shows that reliability has been shown to increase satisfaction </w:t>
      </w:r>
      <w:r w:rsidRPr="00D019C2">
        <w:rPr>
          <w:rFonts w:eastAsia="Times New Roman"/>
          <w:sz w:val="24"/>
        </w:rPr>
        <w:lastRenderedPageBreak/>
        <w:t>in digital banking, especially during the Covid-19 pandemic. During the covid-19 pandemic many customers changed their behavior from conventional switches to using digital banking services, this is done to meet all his needs during the covid-19 outbreak period.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results of this study are in line with the research </w:t>
      </w:r>
      <w:r w:rsidRPr="00D019C2">
        <w:rPr>
          <w:rFonts w:eastAsia="Times New Roman"/>
          <w:sz w:val="24"/>
        </w:rPr>
        <w:fldChar w:fldCharType="begin" w:fldLock="1"/>
      </w:r>
      <w:r w:rsidRPr="00D019C2">
        <w:rPr>
          <w:rFonts w:eastAsia="Times New Roman"/>
          <w:sz w:val="24"/>
        </w:rPr>
        <w:instrText>ADDIN CSL_CITATION {"citationItems":[{"id":"ITEM-1","itemData":{"DOI":"10.1177/2158244020919517","ISSN":"21582440","abstract":"This study attempts to examine the impact of service quality on customer loyalty and customer satisfaction using the SERVQUAL model for four main Islamic banks in the Sultanate of Oman. This is a quantitative nature of a study, which involved a structured, self-administered questionnaire based on a convenience sampling method gathering data from 120 customers of Islamic banks in Oman. The study data were analyzed using SPSS, and the reliability coefficient (Cronbach’s alpha) was established. The correlation analysis examined the significant relationships among the study variables. The impact of service quality dimensions on customer satisfaction was captured through regression analysis. The key findings of the study revealed that the respondents showed on average an “Agree” response in the five areas, namely, tangibles, responsiveness, reliability, assurance, and empathy. The correlation results depicted a significant relationship between the three variables: service quality, customer satisfaction, and customer loyalty. Similarly, regression results demonstrated that empathy and responsiveness dimensions have a significant positive impact on customer satisfaction. It is, therefore, recommended that banks should focus more on empathy and responsiveness considering the significant relationship of these two variables on customer satisfaction. However, banks should not neglect the importance of other variables such as reliability, assurance, and tangibles that are revealed as important by responses of the participants for the bank’s provisions.","author":[{"dropping-particle":"","family":"Fida","given":"Bashir Ahmad","non-dropping-particle":"","parse-names":false,"suffix":""},{"dropping-particle":"","family":"Ahmed","given":"Umar","non-dropping-particle":"","parse-names":false,"suffix":""},{"dropping-particle":"","family":"Al-Balushi","given":"Yousuf","non-dropping-particle":"","parse-names":false,"suffix":""},{"dropping-particle":"","family":"Singh","given":"Dharmendra","non-dropping-particle":"","parse-names":false,"suffix":""}],"container-title":"SAGE Open","id":"ITEM-1","issue":"2","issued":{"date-parts":[["2020"]]},"title":"Impact of Service Quality on Customer Loyalty and Customer Satisfaction in Islamic Banks in the Sultanate of Oman","type":"article-journal","volume":"10"},"uris":["http://www.mendeley.com/documents/?uuid=49baf98b-38fc-4fe4-a9b1-ee529ea82368"]},{"id":"ITEM-2","itemData":{"DOI":"10.5430/jbar.v5n2p27","ISSN":"1927-9507","abstract":"Customer satisfaction is imperative for the incessant survival of any organization around the world. This research work intends to investigate the impact of E-banking variables on customer satisfaction in Pakistan. Five service quality dimensions; reliability, responsiveness, assurance, tangibles and empathy, derived from the SERVQUAL model with support of literature review have been selected as forecasters of customer satisfaction in E-banking. Research design of the study is quantitative. Data has been gathered through already tested questionnaire from 264 E-banking users as respondents, from different cities of Pakistan. Results of the study have revealed that there is momentous relationship between service quality dimensions and customer satisfaction in E-banking in Pakistan, with more weightage of reliability, responsiveness and assurance among the five dimensions. Through this study we can conclude that service quality in E-banking leads to satisfied customers and thus banks can gain competitive advantage by offering better-quality services to their customers in today's emulous world.","author":[{"dropping-particle":"","family":"Toor","given":"Areeba","non-dropping-particle":"","parse-names":false,"suffix":""},{"dropping-particle":"","family":"Hunain","given":"Mudassir","non-dropping-particle":"","parse-names":false,"suffix":""},{"dropping-particle":"","family":"Hussain","given":"Talha","non-dropping-particle":"","parse-names":false,"suffix":""},{"dropping-particle":"","family":"Ali","given":"Shoaib","non-dropping-particle":"","parse-names":false,"suffix":""},{"dropping-particle":"","family":"Shahid","given":"Adnan","non-dropping-particle":"","parse-names":false,"suffix":""}],"container-title":"Journal of Business Administration Research","id":"ITEM-2","issue":"2","issued":{"date-parts":[["2016"]]},"page":"27-40","title":"The Impact of E-Banking on Customer Satisfaction: Evidence from Banking Sector of Pakistan","type":"article-journal","volume":"5"},"uris":["http://www.mendeley.com/documents/?uuid=fe6a2d12-49ce-4df7-a5cb-98e4b51ed371"]},{"id":"ITEM-3","itemData":{"author":[{"dropping-particle":"","family":"Hadiyati","given":"Rini","non-dropping-particle":"","parse-names":false,"suffix":""}],"container-title":"Jurnal EMOR","id":"ITEM-3","issue":"1","issued":{"date-parts":[["2015"]]},"page":"35-55","title":"Pengaruh Kualitas Pelayanan Pt. Garuda Indonesia Airlines Terhadap Kepuasan Konsumen","type":"article-journal","volume":"1"},"uris":["http://www.mendeley.com/documents/?uuid=2f03f341-b056-4e0f-9cdc-a0a9c8817c3c"]}],"mendeley":{"formattedCitation":"(Fida et al., 2020; Hadiyati, 2015; Toor et al., 2016)","plainTextFormattedCitation":"(Fida et al., 2020; Hadiyati, 2015; Toor et al., 2016)","previouslyFormattedCitation":"(Fida et al., 2020; Hadiyati, 2015; Toor et al., 2016)"},"properties":{"noteIndex":0},"schema":"https://github.com/citation-style-language/schema/raw/master/csl-citation.json"}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(Fida et al., 2020; Hadiyati, 2015; Toor et al., 2016)</w:t>
      </w:r>
      <w:r w:rsidRPr="00D019C2">
        <w:rPr>
          <w:rFonts w:eastAsia="Times New Roman"/>
          <w:sz w:val="24"/>
        </w:rPr>
        <w:fldChar w:fldCharType="end"/>
      </w:r>
      <w:r w:rsidRPr="00D019C2">
        <w:rPr>
          <w:rFonts w:eastAsia="Times New Roman"/>
          <w:sz w:val="24"/>
        </w:rPr>
        <w:t xml:space="preserve">, reliability is an important element in the quality of service </w:t>
      </w:r>
      <w:r w:rsidRPr="00D019C2">
        <w:rPr>
          <w:rFonts w:eastAsia="Times New Roman"/>
          <w:sz w:val="24"/>
        </w:rPr>
        <w:fldChar w:fldCharType="begin" w:fldLock="1"/>
      </w:r>
      <w:r w:rsidRPr="00D019C2">
        <w:rPr>
          <w:rFonts w:eastAsia="Times New Roman"/>
          <w:sz w:val="24"/>
        </w:rPr>
        <w:instrText>ADDIN CSL_CITATION {"citationItems":[{"id":"ITEM-1","itemData":{"DOI":"10.1177/002224298504900403","ISSN":"0022-2429","abstract":"The attainment of quality in products and service has become a pivotal concern of the 1980s. While quality in tangible goods has been described and measured by marketers, quality in services is largely undefined and unreserached. The authors attempt to rectify this situation by reporting the insights obtained in an extensive exploratory investigation of quality in four service businesses and by developing a model of service quality. Propositions and recommendations to stimulate future research about service quality are offered.","author":[{"dropping-particle":"","family":"Parasuraman","given":"A.","non-dropping-particle":"","parse-names":false,"suffix":""},{"dropping-particle":"","family":"Zeithaml","given":"Valarie A.","non-dropping-particle":"","parse-names":false,"suffix":""},{"dropping-particle":"","family":"Berry","given":"Leonard L.","non-dropping-particle":"","parse-names":false,"suffix":""}],"container-title":"Journal of Marketing","id":"ITEM-1","issue":"4","issued":{"date-parts":[["1985"]]},"page":"41-50","title":"A Conceptual Model of Service Quality and Its Implications for Future Research","type":"article-journal","volume":"49"},"uris":["http://www.mendeley.com/documents/?uuid=b7845439-37b4-45e8-a949-78a18b22a9fe"]}],"mendeley":{"formattedCitation":"(Parasuraman et al., 1985)","plainTextFormattedCitation":"(Parasuraman et al., 1985)","previouslyFormattedCitation":"(Parasuraman et al., 1985)"},"properties":{"noteIndex":0},"schema":"https://github.com/citation-style-language/schema/raw/master/csl-citation.json"}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(Parasuraman et al., 1985)</w:t>
      </w:r>
      <w:r w:rsidRPr="00D019C2">
        <w:rPr>
          <w:rFonts w:eastAsia="Times New Roman"/>
          <w:sz w:val="24"/>
        </w:rPr>
        <w:fldChar w:fldCharType="end"/>
      </w:r>
      <w:r w:rsidRPr="00D019C2">
        <w:rPr>
          <w:rFonts w:eastAsia="Times New Roman"/>
          <w:sz w:val="24"/>
        </w:rPr>
        <w:t xml:space="preserve">. The results, evidenced by reliability, have the most powerful influence on customer satisfaction, this confirms previous research when people had to relying on stable digital banking services </w:t>
      </w:r>
      <w:r w:rsidRPr="00D019C2">
        <w:rPr>
          <w:rFonts w:eastAsia="Times New Roman"/>
          <w:sz w:val="24"/>
        </w:rPr>
        <w:fldChar w:fldCharType="begin" w:fldLock="1"/>
      </w:r>
      <w:r w:rsidRPr="00D019C2">
        <w:rPr>
          <w:rFonts w:eastAsia="Times New Roman"/>
          <w:sz w:val="24"/>
        </w:rPr>
        <w:instrText>ADDIN CSL_CITATION {"citationItems":[{"id":"ITEM-1","itemData":{"DOI":"10.1177/2158244018790633","ISSN":"21582440","abstract":"The purpose of this study was to examine the relationship between the dimensions of E-Banking service quality and customer satisfaction to determine which dimension can potentially have the strongest influence on customer satisfaction. Data were gathered using a survey instrument, which was distributed among bank clients in the Lebanese banking sector. The data were statistically analyzed using structural equation modeling with SPSS and Amos (20). The findings show that reliability, efficiency, and ease of use; responsiveness and communication; and security and privacy all have a significant impact on customer satisfaction, with reliability being the dimension with the strongest impact. E-Banking has become one of the essential banking services that can, if properly implemented, increase customer satisfaction, and give banks a competitive advantage. Knowing the relative importance of service quality dimensions can help the banking industry focus on what satisfies customers the most.","author":[{"dropping-particle":"","family":"Hammoud","given":"Jamil","non-dropping-particle":"","parse-names":false,"suffix":""},{"dropping-particle":"","family":"Bizri","given":"Rima M.","non-dropping-particle":"","parse-names":false,"suffix":""},{"dropping-particle":"","family":"Baba","given":"Ibrahim","non-dropping-particle":"El","parse-names":false,"suffix":""}],"container-title":"SAGE Open","id":"ITEM-1","issue":"3","issued":{"date-parts":[["2018"]]},"title":"The Impact of E-Banking Service Quality on Customer Satisfaction: Evidence From the Lebanese Banking Sector","type":"article-journal","volume":"8"},"uris":["http://www.mendeley.com/documents/?uuid=a3421b31-12fe-4ede-bb9d-e19e174125ea"]}],"mendeley":{"formattedCitation":"(Hammoud et al., 2018)","plainTextFormattedCitation":"(Hammoud et al., 2018)","previouslyFormattedCitation":"(Hammoud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(Hammoud et al., 2018)</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Efficiency has no effect on customer satisfaction, the statement is supported by the results of t-statistics tests with t-statistical values showing that t</w:t>
      </w:r>
      <w:r w:rsidRPr="00D019C2">
        <w:rPr>
          <w:rFonts w:eastAsia="Times New Roman"/>
          <w:sz w:val="24"/>
          <w:vertAlign w:val="subscript"/>
        </w:rPr>
        <w:t>count</w:t>
      </w:r>
      <w:r w:rsidRPr="00D019C2">
        <w:rPr>
          <w:rFonts w:eastAsia="Times New Roman"/>
          <w:sz w:val="24"/>
        </w:rPr>
        <w:t xml:space="preserve"> 1,314 &lt; t</w:t>
      </w:r>
      <w:r w:rsidRPr="00D019C2">
        <w:rPr>
          <w:rFonts w:eastAsia="Times New Roman"/>
          <w:sz w:val="24"/>
          <w:vertAlign w:val="subscript"/>
        </w:rPr>
        <w:t>table</w:t>
      </w:r>
      <w:r w:rsidRPr="00D019C2">
        <w:rPr>
          <w:rFonts w:eastAsia="Times New Roman"/>
          <w:sz w:val="24"/>
        </w:rPr>
        <w:t xml:space="preserve"> 1.975 and P Value of 0.189 &gt; 0.05. This means that the H2 hypothesis is rejected.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results explained that the ability of Pegadaian Digital services in carrying out tasks properly, quickly and appropriately will not affect the level of customer satisfaction. Perceived efficiency cannot affect customer satisfaction because the majority of users of Pegadaian </w:t>
      </w:r>
      <w:proofErr w:type="gramStart"/>
      <w:r w:rsidRPr="00D019C2">
        <w:rPr>
          <w:rFonts w:eastAsia="Times New Roman"/>
          <w:sz w:val="24"/>
        </w:rPr>
        <w:t>Digital  services</w:t>
      </w:r>
      <w:proofErr w:type="gramEnd"/>
      <w:r w:rsidRPr="00D019C2">
        <w:rPr>
          <w:rFonts w:eastAsia="Times New Roman"/>
          <w:sz w:val="24"/>
        </w:rPr>
        <w:t xml:space="preserve"> in Pondok Labu Branch the purpose is to pay debts or credit. According </w:t>
      </w:r>
      <w:r w:rsidRPr="00D019C2">
        <w:rPr>
          <w:rFonts w:eastAsia="Times New Roman"/>
          <w:sz w:val="24"/>
        </w:rPr>
        <w:fldChar w:fldCharType="begin" w:fldLock="1"/>
      </w:r>
      <w:r w:rsidRPr="00D019C2">
        <w:rPr>
          <w:rFonts w:eastAsia="Times New Roman"/>
          <w:sz w:val="24"/>
        </w:rPr>
        <w:instrText>ADDIN CSL_CITATION {"citationItems":[{"id":"ITEM-1","itemData":{"DOI":"10.1016/S0277-9536(00)00347-6","ISSN":"02779536","PMID":"11459395","abstract":"Depression is common among women with young children, and is strongly associated with financial adversity. Debt is a common feature of such adversity, yet its relationship with depression has not been examined before. We have used longitudinal data, collected over six months, on 271 families with young children, to examine this relationship. Multiple regression was used to identify independent predictors of the total Edinburgh Post-natal Depression Scale score from a range of socioeconomic, demographic, social support and child health related variables. Worry about debt was the strongest independent socioeconomic predictor of the depression score at both initial and follow-up occasions. To account for the possibility of reverse causation, i.e. depression causing worry about debt, alternative regression models are reported which show that owing money by itself predicts depression and earlier debt worries predicts depression six months later. We were unable to show that earlier debt worries independently predicted subsequent depression scores after the initial depression score had been taken into account in the analysis. Although debt has not been shown to be an independent prospective predictor of depression, our results suggest it has a central place in the association between socioeconomic hardship and maternal depression. Evidence from qualitative studies on poverty and from studies on the causes of depression support this hypothesis. The implications for policy are that strategies to enable families to control debt should be an explicit part of wider antipoverty measures which are designed to reduce depression and psychological distress among mothers of young children. Copyright © 2001 Elsevier Science Ltd.","author":[{"dropping-particle":"","family":"Reading","given":"Richard","non-dropping-particle":"","parse-names":false,"suffix":""},{"dropping-particle":"","family":"Reynolds","given":"Shirley","non-dropping-particle":"","parse-names":false,"suffix":""}],"container-title":"Social Science and Medicine","id":"ITEM-1","issue":"4","issued":{"date-parts":[["2001"]]},"page":"441-453","title":"Debt, social disadvantage and maternal depression","type":"article-journal","volume":"53"},"uris":["http://www.mendeley.com/documents/?uuid=e9b54305-3aa2-4f7b-a813-0f40f89f1833"]},{"id":"ITEM-2","itemData":{"ISSN":"23018267","abstract":"Debt behavior has an option individuals in resolving issues fulfillment. Debt behavior not only owned by the middle to bottom class to meet basic needs, but also owned by the upper middle class. This certainly can not be separated from money attitude, where the difference in money attitude will be followed by the person's behavioral differences that related to money. This study aimed to determine the relationship between money attitudes to debt behavior. This study is a quantitative correlation with a sample of 227 people. The data collection method using a money attitude scale and debt behavior scale then analyzed through product moment correlation. The results showed that there was a significant relationship between attitudes toward money to debt behavior (p = 0.023, r = 0.150). Effective contribution attitudes toward money to debt behavior by 2.2%. In partial correlation analysis found that distrust, quality and anxiety dimensions associated with the debt behavior, while the power-prestige and retention time dimensions was not significantly related to debt behavior.","author":[{"dropping-particle":"","family":"Shohib","given":"Muhammad","non-dropping-particle":"","parse-names":false,"suffix":""}],"container-title":"Jurnal Ilmiah Psikologi Terapan","id":"ITEM-2","issue":"1","issued":{"date-parts":[["2017"]]},"page":"132-143","title":"Sikap terhadap uang dan perilaku berhutang","type":"article-journal","volume":"3"},"uris":["http://www.mendeley.com/documents/?uuid=2f7fbaa3-e483-4063-967f-42a9b3b9e171"]}],"mendeley":{"formattedCitation":"(Reading &amp; Reynolds, 2001; Shohib, 2017)","plainTextFormattedCitation":"(Reading &amp; Reynolds, 2001; Shohib, 2017)","previouslyFormattedCitation":"(Reading &amp; Reynolds, 2001; Shohib, 2017)"},"properties":{"noteIndex":0},"schema":"https://github.com/citation-style-language/schema/raw/master/csl-citation.json"}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(Reading &amp; Reynolds, 2001; Shohib, 2017)</w:t>
      </w:r>
      <w:r w:rsidRPr="00D019C2">
        <w:rPr>
          <w:rFonts w:eastAsia="Times New Roman"/>
          <w:sz w:val="24"/>
        </w:rPr>
        <w:fldChar w:fldCharType="end"/>
      </w:r>
      <w:r w:rsidRPr="00D019C2">
        <w:rPr>
          <w:rFonts w:eastAsia="Times New Roman"/>
          <w:sz w:val="24"/>
        </w:rPr>
        <w:t>, credit is the strongest socioeconomic predictor that can lead to depression.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same is true of </w:t>
      </w:r>
      <w:r w:rsidRPr="00D019C2">
        <w:rPr>
          <w:rFonts w:eastAsia="Times New Roman"/>
          <w:sz w:val="24"/>
        </w:rPr>
        <w:fldChar w:fldCharType="begin" w:fldLock="1"/>
      </w:r>
      <w:r w:rsidRPr="00D019C2">
        <w:rPr>
          <w:rFonts w:eastAsia="Times New Roman"/>
          <w:sz w:val="24"/>
        </w:rPr>
        <w:instrText>ADDIN CSL_CITATION {"citationItems":[{"id":"ITEM-1","itemData":{"DOI":"10.1192/apt.bp.106.002527","ISSN":"13555146","abstract":"One in four people with mental health problems in Britain report debt or arrears, which is nearly three times the rate among individuals without similar conditions. Although health professionals commonly encounter debt among patients, some report that they lack basic knowledge to effectively intervene and that patient debt is often not acted on until a crisis emerges. Our aim in this article is to improve psychiatrists' knowledge and confidence in dealing with patient debt. We provide basic definitions of debt and problem debt; outline the impact that debt can have on patients' health, social and financial well-being; identify the stages and signs that a patient may be accruing problem debt; describe how psychiatrists should respond; and review the instruments available to assess patients'mental capacity to make financial decisions. We do not expect psychiatrists to become'debt experts', but provide working knowledge for engaging more effectively with this problem.","author":[{"dropping-particle":"","family":"Fitch","given":"Chris","non-dropping-particle":"","parse-names":false,"suffix":""},{"dropping-particle":"","family":"Chaplin","given":"Robert","non-dropping-particle":"","parse-names":false,"suffix":""},{"dropping-particle":"","family":"Trend","given":"Colin","non-dropping-particle":"","parse-names":false,"suffix":""},{"dropping-particle":"","family":"Collard","given":"Sharon","non-dropping-particle":"","parse-names":false,"suffix":""}],"container-title":"Advances in Psychiatric Treatment","id":"ITEM-1","issue":"3","issued":{"date-parts":[["2007"]]},"page":"194-202","title":"Debt and mental health: The role of psychiatrists","type":"article-journal","volume":"13"},"uris":["http://www.mendeley.com/documents/?uuid=51b22cfe-cdb7-4a5e-b8ba-71b13c5e88fb"]},{"id":"ITEM-2","itemData":{"DOI":"10.22146/jpsi.7069","ISSN":"0215-8884","abstract":"The purpose of this study is to understand the debt behavior based on internal factors, social factor and functional factors in the environment. Theory of planned behavior is used as theoritical base. The study was conducted to test the hypothesis that opinions toward debt behavior, subjective norms, and perceived behavioral control influence directly and / or indirectly to the debt behavior, where the intention act as a mediator between the exogenous variables to the dependent variable. Subjects of the study were 182 civil servants at City Government of Yogyakarta who participated voluntarily. Path analysis showed that debt behavior is influenced by debt intention with value of b=0.359, p=0.004 (p&lt;0.05). From the three exogenous variables, it is found that only subjective norm has a direct influence to the debt intentions with value of b=0.014, p=0.007 (p&lt;0.05), and none of the three variables directly influence the debt behavior. This finding can be interpreted from the point of view that the debt behavior of people with fixed-income like the research subject is not a volutional behavior. Socio-cultural background that filled with collectivistic-culture is presumed as the base influence of subjective norms towards the debt behavior.","author":[{"dropping-particle":"","family":"Renanita","given":"Theda","non-dropping-particle":"","parse-names":false,"suffix":""}],"container-title":"Jurnal Psikologi UGM","id":"ITEM-2","issue":"1","issued":{"date-parts":[["2013"]]},"page":"92-101","title":"Faktor-faktor Psikologis Perilaku Berhutang pada Karyawan Berpenghasilan Tetap","type":"article-journal","volume":"40"},"uris":["http://www.mendeley.com/documents/?uuid=1b9ce133-3b90-40e4-add5-a6087cb0ea53"]}],"mendeley":{"formattedCitation":"(Fitch et al., 2007; Renanita, 2013)","plainTextFormattedCitation":"(Fitch et al., 2007; Renanita, 2013)","previouslyFormattedCitation":"(Fitch et al., 2007; Renanita, 2013)"},"properties":{"noteIndex":0},"schema":"https://github.com/citation-style-language/schema/raw/master/csl-citation.json"}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(Fitch et al., 2007; Renanita, 2013)</w:t>
      </w:r>
      <w:r w:rsidRPr="00D019C2">
        <w:rPr>
          <w:rFonts w:eastAsia="Times New Roman"/>
          <w:sz w:val="24"/>
        </w:rPr>
        <w:fldChar w:fldCharType="end"/>
      </w:r>
      <w:r w:rsidRPr="00D019C2">
        <w:rPr>
          <w:rFonts w:eastAsia="Times New Roman"/>
          <w:sz w:val="24"/>
        </w:rPr>
        <w:t xml:space="preserve">, which states that people who have debts tend to have mental health problems compared to people who do not have debt, satisfaction will not arise if a service user has a problem that he is undergoing. This research is in line with research </w:t>
      </w:r>
      <w:r w:rsidRPr="00D019C2">
        <w:rPr>
          <w:rFonts w:eastAsia="Times New Roman"/>
          <w:sz w:val="24"/>
        </w:rPr>
        <w:fldChar w:fldCharType="begin" w:fldLock="1"/>
      </w:r>
      <w:r w:rsidRPr="00D019C2">
        <w:rPr>
          <w:rFonts w:eastAsia="Times New Roman"/>
          <w:sz w:val="24"/>
        </w:rPr>
        <w:instrText>ADDIN CSL_CITATION {"citationItems":[{"id":"ITEM-1","itemData":{"DOI":"10.1108/TR-10-2017-0160","ISSN":"17598451","abstract":"Purpose: This study aims to delve upon customer satisfaction and service quality within small- and medium-sized hotels (SMSHs) by using a modified SERVQUAL model. Design/methodology/approach: Data for the study were collected from a sample of 253 guests of varying nationalities who stayed at SMSHs of one-to-three-star ratings in the UAE. Moreover, 15 face-to-face interviews were conducted. The influence of the five dimensions of the SERVQUAL model on visitors’ satisfaction was explored using structural equation modelling. Findings: The results indicated that three out of the five dimensions of SERVQUAL, namely, tangible, responsiveness and assurance, have significant positive impact on visitors’ satisfaction of the SMSHs Industry. The remaining two dimensions of SERVQUAL, reliability and empathy, have no significant impact on visitors’ satisfaction. Originality/value: This study provides a major contribution in that it offers the potential to examine a vastly under researched area of customer satisfaction and service quality of SMSHs in a developing country.","author":[{"dropping-particle":"","family":"Ahmad","given":"Syed Zamberi","non-dropping-particle":"","parse-names":false,"suffix":""},{"dropping-particle":"","family":"Ahmad","given":"Norita","non-dropping-particle":"","parse-names":false,"suffix":""},{"dropping-particle":"","family":"Papastathopoulos","given":"Avraam","non-dropping-particle":"","parse-names":false,"suffix":""}],"container-title":"Tourism Review","id":"ITEM-1","issue":"3","issued":{"date-parts":[["2019"]]},"page":"349-370","title":"Measuring service quality and customer satisfaction of the small- and medium-sized hotels (SMSHs) industry: lessons from United Arab Emirates (UAE)","type":"article-journal","volume":"74"},"uris":["http://www.mendeley.com/documents/?uuid=5adcd8f7-9c34-4216-afe6-11cac00a53d8"]}],"mendeley":{"formattedCitation":"(Ahmad et al., 2019)","plainTextFormattedCitation":"(Ahmad et al., 2019)","previouslyFormattedCitation":"(Ahmad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(Ahmad et al., 2019)</w:t>
      </w:r>
      <w:r w:rsidRPr="00D019C2">
        <w:rPr>
          <w:rFonts w:eastAsia="Times New Roman"/>
          <w:sz w:val="24"/>
        </w:rPr>
        <w:fldChar w:fldCharType="end"/>
      </w:r>
      <w:r w:rsidRPr="00D019C2">
        <w:rPr>
          <w:rFonts w:eastAsia="Times New Roman"/>
          <w:sz w:val="24"/>
        </w:rPr>
        <w:t>, which says that not much is expected from the point of view of personalized digital-based services with an understanding of a special need when compared to current crisis conditions such as the covid-19 pandemic.</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Security has no effect on customer satisfaction, the statement is supported by the results of t-statistics tests with t-statistical values showing that t</w:t>
      </w:r>
      <w:r w:rsidRPr="00D019C2">
        <w:rPr>
          <w:rFonts w:eastAsia="Times New Roman"/>
          <w:sz w:val="24"/>
          <w:vertAlign w:val="subscript"/>
        </w:rPr>
        <w:t>count</w:t>
      </w:r>
      <w:r w:rsidRPr="00D019C2">
        <w:rPr>
          <w:rFonts w:eastAsia="Times New Roman"/>
          <w:sz w:val="24"/>
        </w:rPr>
        <w:t xml:space="preserve"> 0.846 &lt; t</w:t>
      </w:r>
      <w:r w:rsidRPr="00D019C2">
        <w:rPr>
          <w:rFonts w:eastAsia="Times New Roman"/>
          <w:sz w:val="24"/>
          <w:vertAlign w:val="subscript"/>
        </w:rPr>
        <w:t>tabel</w:t>
      </w:r>
      <w:r w:rsidRPr="00D019C2">
        <w:rPr>
          <w:rFonts w:eastAsia="Times New Roman"/>
          <w:sz w:val="24"/>
        </w:rPr>
        <w:t xml:space="preserve"> 1.975 and P Value of 0.398 &gt; 0.05. This means that the H3 hypothesis is rejected.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The results explained that the security implemented by The Pegadaian Digital service in Pondok Labu Branch in the transaction process and in maintaining the confidentiality of customer data will not affect the level of customer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lastRenderedPageBreak/>
        <w:t xml:space="preserve">Basically, the implementation of the security of Pegadaian Digital services in Pondok Labu Branch is good enough, with rare reports related to data leaks or transaction fraud is enough to make service users feel safe. This may be the cause of service users still do not feel the security facilities provided so that satisfaction is considered not problematic </w:t>
      </w:r>
      <w:r w:rsidRPr="00D019C2">
        <w:rPr>
          <w:rFonts w:eastAsia="Times New Roman"/>
          <w:sz w:val="24"/>
        </w:rPr>
        <w:fldChar w:fldCharType="begin" w:fldLock="1"/>
      </w:r>
      <w:r w:rsidRPr="00D019C2">
        <w:rPr>
          <w:rFonts w:eastAsia="Times New Roman"/>
          <w:sz w:val="24"/>
        </w:rPr>
        <w:instrText>ADDIN CSL_CITATION {"citationItems":[{"id":"ITEM-1","itemData":{"abstract":"This study aims to examine (1) the partial influence of ten dimensions of service quality on customer satisfaction BPJS Kesehatan in Singaraja city, (2) the simultaneous effect of ten dimensions of service quality on customer satisfaction. The design of this study is quantitative causal. The subjects of this study were BPJS Kesehatan customers in Singaraja city who were at least 18 years old. From the calculations that have been done, the number of respondents used in this study is as many as 65 respondents. Data is collected using an instrument in the form of a questionnaire that has a total of 13 statements, then the data obtained are analyzed using multiple linear regression analysis. The results of this study indicate that (1) the dimensions of physical evidence, reliability, responsiveness, assurance, empathy have a positive and significant effect on customer satisfaction, while the rest are competency dimensions, access, polite and satun attitude, communication, and security do not have a significant effect on customer satisfaction, simultaneously ten dimensions of service quality have a positive and significant effect on customer satisfaction, (2) simultaneously ten dimensions of service quality have a significant effect on customer satisfaction.","author":[{"dropping-particle":"","family":"Dewi","given":"Kadek Iin Listyana","non-dropping-particle":"","parse-names":false,"suffix":""},{"dropping-particle":"","family":"Yulianthini","given":"Ni Nyoman","non-dropping-particle":"","parse-names":false,"suffix":""},{"dropping-particle":"","family":"Telagawathi","given":"Ni Luh Wayan Sayang","non-dropping-particle":"","parse-names":false,"suffix":""}],"container-title":"Manajemen","id":"ITEM-1","issue":"2","issued":{"date-parts":[["2019"]]},"page":"82-92","title":"Pengaruh Dimensi Kualitas Pelayanan Terhadap Kepuasan Pelanggan Pengguna Bpjs Kesehatan Di Kota Singaraja","type":"article-journal","volume":"5"},"uris":["http://www.mendeley.com/documents/?uuid=c6f53c39-0052-4fb3-aa07-b188c1ec2ac0"]}],"mendeley":{"formattedCitation":"(Dewi et al., 2019)","plainTextFormattedCitation":"(Dewi et al., 2019)","previouslyFormattedCitation":"(Dewi et al., 2019)"},"properties":{"noteIndex":0},"schema":"https://github.com/citation-style-language/schema/raw/master/csl-citation.json"}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(Dewi et al., 2019)</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Responsiveness has no effect on customer satisfaction, the statement is supported by the results of t-statistics tests with t-statistical values showing that t</w:t>
      </w:r>
      <w:r w:rsidRPr="00D019C2">
        <w:rPr>
          <w:rFonts w:eastAsia="Times New Roman"/>
          <w:sz w:val="24"/>
          <w:vertAlign w:val="subscript"/>
        </w:rPr>
        <w:t>count</w:t>
      </w:r>
      <w:r w:rsidRPr="00D019C2">
        <w:rPr>
          <w:rFonts w:eastAsia="Times New Roman"/>
          <w:sz w:val="24"/>
        </w:rPr>
        <w:t xml:space="preserve"> 0.709 &lt; t</w:t>
      </w:r>
      <w:r w:rsidRPr="00D019C2">
        <w:rPr>
          <w:rFonts w:eastAsia="Times New Roman"/>
          <w:sz w:val="24"/>
          <w:vertAlign w:val="subscript"/>
        </w:rPr>
        <w:t xml:space="preserve">table </w:t>
      </w:r>
      <w:r w:rsidRPr="00D019C2">
        <w:rPr>
          <w:rFonts w:eastAsia="Times New Roman"/>
          <w:sz w:val="24"/>
        </w:rPr>
        <w:t>1.975 and P Value of 0,478 &gt; 0</w:t>
      </w:r>
      <w:proofErr w:type="gramStart"/>
      <w:r w:rsidRPr="00D019C2">
        <w:rPr>
          <w:rFonts w:eastAsia="Times New Roman"/>
          <w:sz w:val="24"/>
        </w:rPr>
        <w:t>,05</w:t>
      </w:r>
      <w:proofErr w:type="gramEnd"/>
      <w:r w:rsidRPr="00D019C2">
        <w:rPr>
          <w:rFonts w:eastAsia="Times New Roman"/>
          <w:sz w:val="24"/>
        </w:rPr>
        <w:t>. This means that the H4 hypothesis is rejected.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results explain if the readiness or sensitivity of Pegadaian Digital services in Pondok Labu Branch to support customers in overcoming problems quickly will not affect customer satisfaction levels. In addition, most users rarely experience obstacles when using Pegadaian Digital services, so that although it has a fast capture but has not had an impact on customer satisfaction levels </w:t>
      </w:r>
      <w:r w:rsidRPr="00D019C2">
        <w:rPr>
          <w:rFonts w:eastAsia="Times New Roman"/>
          <w:sz w:val="24"/>
        </w:rPr>
        <w:fldChar w:fldCharType="begin" w:fldLock="1"/>
      </w:r>
      <w:r w:rsidRPr="00D019C2">
        <w:rPr>
          <w:rFonts w:eastAsia="Times New Roman"/>
          <w:sz w:val="24"/>
        </w:rPr>
        <w:instrText>ADDIN CSL_CITATION {"citationItems":[{"id":"ITEM-1","itemData":{"author":[{"dropping-particle":"","family":"Stevano","given":"","non-dropping-particle":"","parse-names":false,"suffix":""},{"dropping-particle":"","family":"Andajani","given":"Erna","non-dropping-particle":"","parse-names":false,"suffix":""},{"dropping-particle":"","family":"Rahayu","given":"Siti","non-dropping-particle":"","parse-names":false,"suffix":""}],"container-title":"5th International conference on Business, Economic and Social Sciences (ICBESS) 2018","id":"ITEM-1","issued":{"date-parts":[["2018"]]},"page":"22","title":"Influence Service Quality To Customer Satisfaction and Customer Loyalty Using Self Service Technology: Internet Banking","type":"article-journal"},"uris":["http://www.mendeley.com/documents/?uuid=97d59c2b-9752-4ee2-a1f2-1d806c674d77"]}],"mendeley":{"formattedCitation":"(Stevano et al., 2018)","plainTextFormattedCitation":"(Stevano et al., 2018)","previouslyFormattedCitation":"(Stevano et al., 2018)"},"properties":{"noteIndex":0},"schema":"https://github.com/citation-style-language/schema/raw/master/csl-citation.json"}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(Stevano et al., 2018)</w:t>
      </w:r>
      <w:r w:rsidRPr="00D019C2">
        <w:rPr>
          <w:rFonts w:eastAsia="Times New Roman"/>
          <w:sz w:val="24"/>
        </w:rPr>
        <w:fldChar w:fldCharType="end"/>
      </w:r>
      <w:r w:rsidRPr="00D019C2">
        <w:rPr>
          <w:rFonts w:eastAsia="Times New Roman"/>
          <w:sz w:val="24"/>
        </w:rPr>
        <w: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When viewed from the characteristics of respondents, the average age of users of Pegadaian Digital services is dominated by those between the ages of 20-30 years. According (Kemenpppa, 2018), one of the characteristics of millennials is that they do not pursue satisfaction with a service. Millennials won't mind too much about something that makes it difficult for them, instead they'll tend to leave something they think can hinder their development.</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Web design has no effect on customer satisfaction, the statement is supported by the results of t-statistics tests with the t-statistical value showing that t</w:t>
      </w:r>
      <w:r w:rsidRPr="00D019C2">
        <w:rPr>
          <w:rFonts w:eastAsia="Times New Roman"/>
          <w:sz w:val="24"/>
          <w:vertAlign w:val="subscript"/>
        </w:rPr>
        <w:t>count</w:t>
      </w:r>
      <w:r w:rsidRPr="00D019C2">
        <w:rPr>
          <w:rFonts w:eastAsia="Times New Roman"/>
          <w:sz w:val="24"/>
        </w:rPr>
        <w:t xml:space="preserve"> is 1.761 &lt; t</w:t>
      </w:r>
      <w:r w:rsidRPr="00D019C2">
        <w:rPr>
          <w:rFonts w:eastAsia="Times New Roman"/>
          <w:sz w:val="24"/>
          <w:vertAlign w:val="subscript"/>
        </w:rPr>
        <w:t>table</w:t>
      </w:r>
      <w:r w:rsidRPr="00D019C2">
        <w:rPr>
          <w:rFonts w:eastAsia="Times New Roman"/>
          <w:sz w:val="24"/>
        </w:rPr>
        <w:t xml:space="preserve"> 1.975 and P Value is 0.447&gt; 0.05. This means that hypothesis H5 is rejected.</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The results explain that all the features or appearance of The Pegadaian Digital to help customers in providing an easier and concise transaction structure cannot increase or decrease customer perception of satisfaction.</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This may happen because the main purpose of customers using Pegadaian Digital services is for transactions, the users usually pay less attention to the design or features of the service because they are busy or less concerned. For some people time is very important, so they will not linger in the process of a service. This is also evidenced by the characteristics of users of Pegadaian Digital services that are dominated by workers both in the private sector and civil servants. This research is in line with the research </w:t>
      </w:r>
      <w:r w:rsidRPr="00D019C2">
        <w:rPr>
          <w:rFonts w:eastAsia="Times New Roman"/>
          <w:sz w:val="24"/>
        </w:rPr>
        <w:fldChar w:fldCharType="begin" w:fldLock="1"/>
      </w:r>
      <w:r w:rsidRPr="00D019C2">
        <w:rPr>
          <w:rFonts w:eastAsia="Times New Roman"/>
          <w:sz w:val="24"/>
        </w:rPr>
        <w:instrText>ADDIN CSL_CITATION {"citationItems":[{"id":"ITEM-1","itemData":{"ISBN":"1201011313014","abstract":"The advance of technology creates the new business trend by using internet. Zalora.co.id is one of the e-commerce uses website and application to deliver fashion products to the customers. The quality of website and application is the key to build the trust and satisfaction to the customers. Zalora.co.id needs a strategy to maintain the service quality and enjoyment through its website and application in order to keep and increase the customer repurchase intention on zalora.co.id. This study aims to analyze the influence of factors of repurchase intention on zalora.co.id. Website design quality, service quality and enjoyment as independent variables and repurchase intention as dependent variable. This research uses satisfaction and trust as intervening variables. Sample of this research is the application users and visitors' Zalora website in 2016 who had made a minimum of two purchases. The sampling method in this research is judgment sampling. The analysis technique used is Structural Equation Modeling – PLS. The results of this study show website design quality, service quality and enjoyment have positive effect on repurchase intention. The indirect influence of website design quality through satisfaction and trust has a negative effect.","author":[{"dropping-particle":"","family":"Tatang","given":"Marko","non-dropping-particle":"","parse-names":false,"suffix":""},{"dropping-particle":"","family":"Mudiantono","given":"","non-dropping-particle":"","parse-names":false,"suffix":""}],"container-title":"Diponegoro Journal Of Management","id":"ITEM-1","issue":"5","issued":{"date-parts":[["2017"]]},"page":"1-11","title":"The impact of website design quality, service quality, and enjoyment on repurchase intention through satisfaction and trust at Zalora","type":"article-journal","volume":"6"},"uris":["http://www.mendeley.com/documents/?uuid=70040f67-f354-4b48-832c-04ca4b38b088"]}],"mendeley":{"formattedCitation":"(Tatang &amp; Mudiantono, 2017)","plainTextFormattedCitation":"(Tatang &amp; Mudiantono, 2017)","previouslyFormattedCitation":"(Tatang &amp; Mudiantono, 2017)"},"properties":{"noteIndex":0},"schema":"https://github.com/citation-style-language/schema/raw/master/csl-citation.json"}</w:instrText>
      </w:r>
      <w:r w:rsidRPr="00D019C2">
        <w:rPr>
          <w:rFonts w:eastAsia="Times New Roman"/>
          <w:sz w:val="24"/>
        </w:rPr>
        <w:fldChar w:fldCharType="separate"/>
      </w:r>
      <w:r w:rsidRPr="00D019C2">
        <w:rPr>
          <w:rFonts w:eastAsia="Times New Roman"/>
          <w:noProof/>
          <w:sz w:val="24"/>
        </w:rPr>
        <w:t>(Tatang &amp; Mudiantono, 2017)</w:t>
      </w:r>
      <w:r w:rsidRPr="00D019C2">
        <w:rPr>
          <w:rFonts w:eastAsia="Times New Roman"/>
          <w:sz w:val="24"/>
        </w:rPr>
        <w:fldChar w:fldCharType="end"/>
      </w:r>
      <w:r w:rsidRPr="00D019C2">
        <w:rPr>
          <w:rFonts w:eastAsia="Times New Roman"/>
          <w:sz w:val="24"/>
        </w:rPr>
        <w:t>.</w:t>
      </w:r>
    </w:p>
    <w:p w:rsidR="00095EF9" w:rsidRPr="00576737" w:rsidRDefault="00095EF9" w:rsidP="00E35AC6">
      <w:pPr>
        <w:pStyle w:val="ListParagraph"/>
        <w:numPr>
          <w:ilvl w:val="0"/>
          <w:numId w:val="25"/>
        </w:numPr>
        <w:spacing w:beforeLines="50" w:before="120" w:afterLines="50" w:after="120"/>
        <w:ind w:left="284" w:right="119" w:hanging="284"/>
        <w:rPr>
          <w:rFonts w:eastAsia="Times New Roman"/>
          <w:b/>
          <w:bCs/>
          <w:iCs/>
          <w:sz w:val="24"/>
        </w:rPr>
      </w:pPr>
      <w:r w:rsidRPr="00576737">
        <w:rPr>
          <w:rFonts w:eastAsia="Times New Roman"/>
          <w:b/>
          <w:bCs/>
          <w:iCs/>
          <w:sz w:val="24"/>
        </w:rPr>
        <w:t>Conclusions and Implications</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This research aims to test the effect of the quality of Pegadaian Digital services on customer satisfaction. Similar studies have been conducted by several previous studies as shown in the literature review. However, to the author's knowledge nothing was done in the non-bank financial sector. The study follows a quantitative approach where surveys are distributed among customers of Pegadaian Pondok Labu Branch and data are processed using descriptive and inferential analysis with the help of smartPLS software.</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 xml:space="preserve">The findings suggest that one in five hypotheses in the study are supported by data. Reliability as a service quality variable contributed the most to customer satisfaction in the study. The results can be concluded that reliability is proven to increase customer satisfaction, the more reliable service then customer satisfaction will increase. Especially during the Covid-19 </w:t>
      </w:r>
      <w:r w:rsidRPr="00D019C2">
        <w:rPr>
          <w:rFonts w:eastAsia="Times New Roman"/>
          <w:sz w:val="24"/>
        </w:rPr>
        <w:lastRenderedPageBreak/>
        <w:t>pandemic, safety is a top priority. For customers, reliable service is enough to make them feel satisfied. So some factors such as features or appearance are things that are less noticed. Reliable meaning can also include the response, efficiency and security of a service. If the customer already considers the service can be relied on, then the performance of The Pegadaian Digital service is in accordance with the expectations of the customers of Pegadaian Pondok Labu Branch.</w:t>
      </w:r>
    </w:p>
    <w:p w:rsidR="00095EF9" w:rsidRPr="00D019C2" w:rsidRDefault="00095EF9" w:rsidP="00D019C2">
      <w:pPr>
        <w:spacing w:beforeLines="50" w:before="120" w:afterLines="50" w:after="120"/>
        <w:ind w:right="119"/>
        <w:rPr>
          <w:rFonts w:eastAsia="Times New Roman"/>
          <w:sz w:val="24"/>
        </w:rPr>
      </w:pPr>
      <w:r w:rsidRPr="00D019C2">
        <w:rPr>
          <w:rFonts w:eastAsia="Times New Roman"/>
          <w:sz w:val="24"/>
        </w:rPr>
        <w:t>To further expand the research, it is recommended that ways to improve the quality of Pegadaian Digital services should be investigated, particularly in an effort to improve customer satisfaction. In addition, the area used as the object of the study should be expanded so that the research better describes the actual circumstances and can strengthen the theory of service quality and can strengthen theories about service quality and customer satisfaction.</w:t>
      </w:r>
    </w:p>
    <w:p w:rsidR="00095EF9" w:rsidRPr="00D019C2" w:rsidRDefault="00095EF9" w:rsidP="00D019C2">
      <w:pPr>
        <w:spacing w:beforeLines="50" w:before="120" w:afterLines="50" w:after="120"/>
        <w:ind w:right="119"/>
        <w:rPr>
          <w:rFonts w:eastAsia="Times New Roman"/>
          <w:sz w:val="24"/>
        </w:rPr>
      </w:pPr>
    </w:p>
    <w:p w:rsidR="00095EF9" w:rsidRPr="00167801" w:rsidRDefault="00095EF9" w:rsidP="00D019C2">
      <w:pPr>
        <w:spacing w:beforeLines="50" w:before="120" w:afterLines="50" w:after="120"/>
        <w:ind w:right="119"/>
        <w:rPr>
          <w:rFonts w:eastAsia="Times New Roman"/>
          <w:b/>
          <w:bCs/>
          <w:iCs/>
          <w:sz w:val="24"/>
        </w:rPr>
      </w:pPr>
      <w:r w:rsidRPr="00167801">
        <w:rPr>
          <w:rFonts w:eastAsia="Times New Roman"/>
          <w:b/>
          <w:bCs/>
          <w:iCs/>
          <w:sz w:val="24"/>
        </w:rPr>
        <w:t>Reference</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rFonts w:eastAsia="Times New Roman"/>
          <w:sz w:val="24"/>
        </w:rPr>
        <w:fldChar w:fldCharType="begin" w:fldLock="1"/>
      </w:r>
      <w:r w:rsidRPr="00D019C2">
        <w:rPr>
          <w:rFonts w:eastAsia="Times New Roman"/>
          <w:sz w:val="24"/>
        </w:rPr>
        <w:instrText xml:space="preserve">ADDIN Mendeley Bibliography CSL_BIBLIOGRAPHY </w:instrText>
      </w:r>
      <w:r w:rsidRPr="00D019C2">
        <w:rPr>
          <w:rFonts w:eastAsia="Times New Roman"/>
          <w:sz w:val="24"/>
        </w:rPr>
        <w:fldChar w:fldCharType="separate"/>
      </w:r>
      <w:r w:rsidRPr="00D019C2">
        <w:rPr>
          <w:noProof/>
          <w:sz w:val="24"/>
        </w:rPr>
        <w:t xml:space="preserve">Ahmad, S. Z., Ahmad, N., &amp; Papastathopoulos, A. (2019). Measuring service quality and customer satisfaction of the small- and medium-sized hotels (SMSHs) industry: lessons from United Arab Emirates (UAE). </w:t>
      </w:r>
      <w:r w:rsidRPr="00D019C2">
        <w:rPr>
          <w:i/>
          <w:iCs/>
          <w:noProof/>
          <w:sz w:val="24"/>
        </w:rPr>
        <w:t>Tourism Review</w:t>
      </w:r>
      <w:r w:rsidRPr="00D019C2">
        <w:rPr>
          <w:noProof/>
          <w:sz w:val="24"/>
        </w:rPr>
        <w:t xml:space="preserve">, </w:t>
      </w:r>
      <w:r w:rsidRPr="00D019C2">
        <w:rPr>
          <w:i/>
          <w:iCs/>
          <w:noProof/>
          <w:sz w:val="24"/>
        </w:rPr>
        <w:t>74</w:t>
      </w:r>
      <w:r w:rsidRPr="00D019C2">
        <w:rPr>
          <w:noProof/>
          <w:sz w:val="24"/>
        </w:rPr>
        <w:t>(3), 349–370. https://doi.org/10.1108/TR-10-2017-0160</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Alsajjan, B., &amp; Dennis, C. (2010). Internet banking acceptance model: Cross-market examination. </w:t>
      </w:r>
      <w:r w:rsidRPr="00D019C2">
        <w:rPr>
          <w:i/>
          <w:iCs/>
          <w:noProof/>
          <w:sz w:val="24"/>
        </w:rPr>
        <w:t>Journal of Business Research</w:t>
      </w:r>
      <w:r w:rsidRPr="00D019C2">
        <w:rPr>
          <w:noProof/>
          <w:sz w:val="24"/>
        </w:rPr>
        <w:t xml:space="preserve">, </w:t>
      </w:r>
      <w:r w:rsidRPr="00D019C2">
        <w:rPr>
          <w:i/>
          <w:iCs/>
          <w:noProof/>
          <w:sz w:val="24"/>
        </w:rPr>
        <w:t>63</w:t>
      </w:r>
      <w:r w:rsidRPr="00D019C2">
        <w:rPr>
          <w:noProof/>
          <w:sz w:val="24"/>
        </w:rPr>
        <w:t>(9–10), 957–963. https://doi.org/10.1016/j.jbusres.2008.12.014</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Amin, M. (2016). Internet banking service quality and its implication on e-customer satisfaction and e-customer loyalty. </w:t>
      </w:r>
      <w:r w:rsidRPr="00D019C2">
        <w:rPr>
          <w:i/>
          <w:iCs/>
          <w:noProof/>
          <w:sz w:val="24"/>
        </w:rPr>
        <w:t>International Journal of Bank Marketing</w:t>
      </w:r>
      <w:r w:rsidRPr="00D019C2">
        <w:rPr>
          <w:noProof/>
          <w:sz w:val="24"/>
        </w:rPr>
        <w:t xml:space="preserve">, </w:t>
      </w:r>
      <w:r w:rsidRPr="00D019C2">
        <w:rPr>
          <w:i/>
          <w:iCs/>
          <w:noProof/>
          <w:sz w:val="24"/>
        </w:rPr>
        <w:t>34</w:t>
      </w:r>
      <w:r w:rsidRPr="00D019C2">
        <w:rPr>
          <w:noProof/>
          <w:sz w:val="24"/>
        </w:rPr>
        <w:t>(1), 1–5.</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Barquin, S., HV, V., &amp; Shrikhande, D. (2019). Digital banking in Indonesia: Building loyalty and generating growth. </w:t>
      </w:r>
      <w:r w:rsidRPr="00D019C2">
        <w:rPr>
          <w:i/>
          <w:iCs/>
          <w:noProof/>
          <w:sz w:val="24"/>
        </w:rPr>
        <w:t>McKinsey &amp; Company</w:t>
      </w:r>
      <w:r w:rsidRPr="00D019C2">
        <w:rPr>
          <w:noProof/>
          <w:sz w:val="24"/>
        </w:rPr>
        <w:t xml:space="preserve">, </w:t>
      </w:r>
      <w:r w:rsidRPr="00D019C2">
        <w:rPr>
          <w:i/>
          <w:iCs/>
          <w:noProof/>
          <w:sz w:val="24"/>
        </w:rPr>
        <w:t>February</w:t>
      </w:r>
      <w:r w:rsidRPr="00D019C2">
        <w:rPr>
          <w:noProof/>
          <w:sz w:val="24"/>
        </w:rPr>
        <w:t>, 6. https://www.mckinsey.com/industries/financial-services/our-insights/digital-banking-in-indonesia-building-loyalty-and-generating-growth</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Chan, C. K., Fang, Y., &amp; Li, H. (2019). Relative advantage of interactive electronic banking adoption by premium customers: The moderating role of social capital. </w:t>
      </w:r>
      <w:r w:rsidRPr="00D019C2">
        <w:rPr>
          <w:i/>
          <w:iCs/>
          <w:noProof/>
          <w:sz w:val="24"/>
        </w:rPr>
        <w:t>Internet Research</w:t>
      </w:r>
      <w:r w:rsidRPr="00D019C2">
        <w:rPr>
          <w:noProof/>
          <w:sz w:val="24"/>
        </w:rPr>
        <w:t xml:space="preserve">, </w:t>
      </w:r>
      <w:r w:rsidRPr="00D019C2">
        <w:rPr>
          <w:i/>
          <w:iCs/>
          <w:noProof/>
          <w:sz w:val="24"/>
        </w:rPr>
        <w:t>30</w:t>
      </w:r>
      <w:r w:rsidRPr="00D019C2">
        <w:rPr>
          <w:noProof/>
          <w:sz w:val="24"/>
        </w:rPr>
        <w:t>(2), 357–379. https://doi.org/10.1108/INTR-06-2018-0280</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Dewi, K. I. L., Yulianthini, N. N., &amp; Telagawathi, N. L. W. S. (2019). Pengaruh Dimensi Kualitas Pelayanan Terhadap Kepuasan Pelanggan Pengguna Bpjs Kesehatan Di Kota Singaraja. </w:t>
      </w:r>
      <w:r w:rsidRPr="00D019C2">
        <w:rPr>
          <w:i/>
          <w:iCs/>
          <w:noProof/>
          <w:sz w:val="24"/>
        </w:rPr>
        <w:t>Manajemen</w:t>
      </w:r>
      <w:r w:rsidRPr="00D019C2">
        <w:rPr>
          <w:noProof/>
          <w:sz w:val="24"/>
        </w:rPr>
        <w:t xml:space="preserve">, </w:t>
      </w:r>
      <w:r w:rsidRPr="00D019C2">
        <w:rPr>
          <w:i/>
          <w:iCs/>
          <w:noProof/>
          <w:sz w:val="24"/>
        </w:rPr>
        <w:t>5</w:t>
      </w:r>
      <w:r w:rsidRPr="00D019C2">
        <w:rPr>
          <w:noProof/>
          <w:sz w:val="24"/>
        </w:rPr>
        <w:t>(2), 82–92.</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Fida, B. A., Ahmed, U., Al-Balushi, Y., &amp; Singh, D. (2020). Impact of Service Quality on Customer Loyalty and Customer Satisfaction in Islamic Banks in the Sultanate of Oman. </w:t>
      </w:r>
      <w:r w:rsidRPr="00D019C2">
        <w:rPr>
          <w:i/>
          <w:iCs/>
          <w:noProof/>
          <w:sz w:val="24"/>
        </w:rPr>
        <w:t>SAGE Open</w:t>
      </w:r>
      <w:r w:rsidRPr="00D019C2">
        <w:rPr>
          <w:noProof/>
          <w:sz w:val="24"/>
        </w:rPr>
        <w:t xml:space="preserve">, </w:t>
      </w:r>
      <w:r w:rsidRPr="00D019C2">
        <w:rPr>
          <w:i/>
          <w:iCs/>
          <w:noProof/>
          <w:sz w:val="24"/>
        </w:rPr>
        <w:t>10</w:t>
      </w:r>
      <w:r w:rsidRPr="00D019C2">
        <w:rPr>
          <w:noProof/>
          <w:sz w:val="24"/>
        </w:rPr>
        <w:t>(2). https://doi.org/10.1177/2158244020919517</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Fitch, C., Chaplin, R., Trend, C., &amp; Collard, S. (2007). Debt and mental health: The role of psychiatrists. </w:t>
      </w:r>
      <w:r w:rsidRPr="00D019C2">
        <w:rPr>
          <w:i/>
          <w:iCs/>
          <w:noProof/>
          <w:sz w:val="24"/>
        </w:rPr>
        <w:t>Advances in Psychiatric Treatment</w:t>
      </w:r>
      <w:r w:rsidRPr="00D019C2">
        <w:rPr>
          <w:noProof/>
          <w:sz w:val="24"/>
        </w:rPr>
        <w:t xml:space="preserve">, </w:t>
      </w:r>
      <w:r w:rsidRPr="00D019C2">
        <w:rPr>
          <w:i/>
          <w:iCs/>
          <w:noProof/>
          <w:sz w:val="24"/>
        </w:rPr>
        <w:t>13</w:t>
      </w:r>
      <w:r w:rsidRPr="00D019C2">
        <w:rPr>
          <w:noProof/>
          <w:sz w:val="24"/>
        </w:rPr>
        <w:t>(3), 194–202. https://doi.org/10.1192/apt.bp.106.002527</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Ghozali, I. (2018). </w:t>
      </w:r>
      <w:r w:rsidRPr="00D019C2">
        <w:rPr>
          <w:i/>
          <w:iCs/>
          <w:noProof/>
          <w:sz w:val="24"/>
        </w:rPr>
        <w:t>Aplikasi Analisis Multivariate Dengan Program IBM SPSS 25</w:t>
      </w:r>
      <w:r w:rsidRPr="00D019C2">
        <w:rPr>
          <w:noProof/>
          <w:sz w:val="24"/>
        </w:rPr>
        <w:t xml:space="preserve"> (9th ed.). Universitas Diponogoro.</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Hadiyati, R. (2015). Pengaruh Kualitas Pelayanan Pt. Garuda Indonesia Airlines Terhadap </w:t>
      </w:r>
      <w:r w:rsidRPr="00D019C2">
        <w:rPr>
          <w:noProof/>
          <w:sz w:val="24"/>
        </w:rPr>
        <w:lastRenderedPageBreak/>
        <w:t xml:space="preserve">Kepuasan Konsumen. </w:t>
      </w:r>
      <w:r w:rsidRPr="00D019C2">
        <w:rPr>
          <w:i/>
          <w:iCs/>
          <w:noProof/>
          <w:sz w:val="24"/>
        </w:rPr>
        <w:t>Jurnal EMOR</w:t>
      </w:r>
      <w:r w:rsidRPr="00D019C2">
        <w:rPr>
          <w:noProof/>
          <w:sz w:val="24"/>
        </w:rPr>
        <w:t xml:space="preserve">, </w:t>
      </w:r>
      <w:r w:rsidRPr="00D019C2">
        <w:rPr>
          <w:i/>
          <w:iCs/>
          <w:noProof/>
          <w:sz w:val="24"/>
        </w:rPr>
        <w:t>1</w:t>
      </w:r>
      <w:r w:rsidRPr="00D019C2">
        <w:rPr>
          <w:noProof/>
          <w:sz w:val="24"/>
        </w:rPr>
        <w:t>(1), 35–55.</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Hair, J. F., Black, W. C., Babin, B. J., &amp; Anderson, R. E. (2014). Multivariate Data Analysis (MVDA). In </w:t>
      </w:r>
      <w:r w:rsidRPr="00D019C2">
        <w:rPr>
          <w:i/>
          <w:iCs/>
          <w:noProof/>
          <w:sz w:val="24"/>
        </w:rPr>
        <w:t>Pharmaceutical Quality by Design: A Practical Approach</w:t>
      </w:r>
      <w:r w:rsidRPr="00D019C2">
        <w:rPr>
          <w:noProof/>
          <w:sz w:val="24"/>
        </w:rPr>
        <w:t xml:space="preserve"> (Seventh Ed). https://doi.org/10.1002/9781118895238.ch8</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Hamilton, M. (2021). </w:t>
      </w:r>
      <w:r w:rsidRPr="00D019C2">
        <w:rPr>
          <w:i/>
          <w:iCs/>
          <w:noProof/>
          <w:sz w:val="24"/>
        </w:rPr>
        <w:t>Digital Banking Trend in The New Normal Era</w:t>
      </w:r>
      <w:r w:rsidRPr="00D019C2">
        <w:rPr>
          <w:noProof/>
          <w:sz w:val="24"/>
        </w:rPr>
        <w:t>.</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Hammoud, J., Bizri, R. M., &amp; El Baba, I. (2018). The Impact of E-Banking Service Quality on Customer Satisfaction: Evidence From the Lebanese Banking Sector. </w:t>
      </w:r>
      <w:r w:rsidRPr="00D019C2">
        <w:rPr>
          <w:i/>
          <w:iCs/>
          <w:noProof/>
          <w:sz w:val="24"/>
        </w:rPr>
        <w:t>SAGE Open</w:t>
      </w:r>
      <w:r w:rsidRPr="00D019C2">
        <w:rPr>
          <w:noProof/>
          <w:sz w:val="24"/>
        </w:rPr>
        <w:t xml:space="preserve">, </w:t>
      </w:r>
      <w:r w:rsidRPr="00D019C2">
        <w:rPr>
          <w:i/>
          <w:iCs/>
          <w:noProof/>
          <w:sz w:val="24"/>
        </w:rPr>
        <w:t>8</w:t>
      </w:r>
      <w:r w:rsidRPr="00D019C2">
        <w:rPr>
          <w:noProof/>
          <w:sz w:val="24"/>
        </w:rPr>
        <w:t>(3). https://doi.org/10.1177/2158244018790633</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Haq, I. U., &amp; Awan, T. M. (2020). Impact of e-banking service quality on e-loyalty in pandemic times through interplay of e-satisfaction. </w:t>
      </w:r>
      <w:r w:rsidRPr="00D019C2">
        <w:rPr>
          <w:i/>
          <w:iCs/>
          <w:noProof/>
          <w:sz w:val="24"/>
        </w:rPr>
        <w:t>Vilakshan - XIMB Journal of Management</w:t>
      </w:r>
      <w:r w:rsidRPr="00D019C2">
        <w:rPr>
          <w:noProof/>
          <w:sz w:val="24"/>
        </w:rPr>
        <w:t xml:space="preserve">, </w:t>
      </w:r>
      <w:r w:rsidRPr="00D019C2">
        <w:rPr>
          <w:i/>
          <w:iCs/>
          <w:noProof/>
          <w:sz w:val="24"/>
        </w:rPr>
        <w:t>17</w:t>
      </w:r>
      <w:r w:rsidRPr="00D019C2">
        <w:rPr>
          <w:noProof/>
          <w:sz w:val="24"/>
        </w:rPr>
        <w:t>(1/2), 39–55. https://doi.org/10.1108/xjm-07-2020-0039</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Haverila, M., Haverila, K., &amp; Arora, M. (2019). Comparing the service experience of satisfied and non-satisfied customers in the context of wine tasting rooms using the SERVQUAL model. </w:t>
      </w:r>
      <w:r w:rsidRPr="00D019C2">
        <w:rPr>
          <w:i/>
          <w:iCs/>
          <w:noProof/>
          <w:sz w:val="24"/>
        </w:rPr>
        <w:t>International Journal of Wine Business Research</w:t>
      </w:r>
      <w:r w:rsidRPr="00D019C2">
        <w:rPr>
          <w:noProof/>
          <w:sz w:val="24"/>
        </w:rPr>
        <w:t xml:space="preserve">, </w:t>
      </w:r>
      <w:r w:rsidRPr="00D019C2">
        <w:rPr>
          <w:i/>
          <w:iCs/>
          <w:noProof/>
          <w:sz w:val="24"/>
        </w:rPr>
        <w:t>32</w:t>
      </w:r>
      <w:r w:rsidRPr="00D019C2">
        <w:rPr>
          <w:noProof/>
          <w:sz w:val="24"/>
        </w:rPr>
        <w:t>(2), 301–324. https://doi.org/10.1108/IJWBR-12-2018-0070</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Huda, A. N., &amp; Wahyuni, S. (2019). nalisis Pengaruh Kualitas Layanan Internet Banking dan Tingkat Kepuasan Terhadap Loyalitas Nasabah Pada PT Bank Rakyat Indonesia (Persero) Tbk Kantor Cabang Pembantu Jamsostek Jakarta. </w:t>
      </w:r>
      <w:r w:rsidRPr="00D019C2">
        <w:rPr>
          <w:i/>
          <w:iCs/>
          <w:noProof/>
          <w:sz w:val="24"/>
        </w:rPr>
        <w:t>ABFII Perbanas Jakarta</w:t>
      </w:r>
      <w:r w:rsidRPr="00D019C2">
        <w:rPr>
          <w:noProof/>
          <w:sz w:val="24"/>
        </w:rPr>
        <w:t xml:space="preserve">, </w:t>
      </w:r>
      <w:r w:rsidRPr="00D019C2">
        <w:rPr>
          <w:i/>
          <w:iCs/>
          <w:noProof/>
          <w:sz w:val="24"/>
        </w:rPr>
        <w:t>7</w:t>
      </w:r>
      <w:r w:rsidRPr="00D019C2">
        <w:rPr>
          <w:noProof/>
          <w:sz w:val="24"/>
        </w:rPr>
        <w:t>(1), 12. https://doi.org/10.32497/keunis.v7i1.1527</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Kementerian Pemberdayaan Perempuan Dan Perlindungan Anak RI. (2018). Profil Generasi Milenial Indonesia. Jakarta : Kementrian Pemberdayaan Perempuan Dan Perlindungan Anak RI</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Parasuraman, A., Zeithaml, V. A., &amp; Berry, L. L. (1985). A Conceptual Model of Service Quality and Its Implications for Future Research. </w:t>
      </w:r>
      <w:r w:rsidRPr="00D019C2">
        <w:rPr>
          <w:i/>
          <w:iCs/>
          <w:noProof/>
          <w:sz w:val="24"/>
        </w:rPr>
        <w:t>Journal of Marketing</w:t>
      </w:r>
      <w:r w:rsidRPr="00D019C2">
        <w:rPr>
          <w:noProof/>
          <w:sz w:val="24"/>
        </w:rPr>
        <w:t xml:space="preserve">, </w:t>
      </w:r>
      <w:r w:rsidRPr="00D019C2">
        <w:rPr>
          <w:i/>
          <w:iCs/>
          <w:noProof/>
          <w:sz w:val="24"/>
        </w:rPr>
        <w:t>49</w:t>
      </w:r>
      <w:r w:rsidRPr="00D019C2">
        <w:rPr>
          <w:noProof/>
          <w:sz w:val="24"/>
        </w:rPr>
        <w:t>(4), 41–50. https://doi.org/10.1177/002224298504900403</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Pegadaian. (2021). Driving Sustainability. Jakarta : PT Pegadaian (Persero).</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Pegadaian. (2021). Pegadaian Digital. https://sahabatpegadaian.com/pegadaian-digital/</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Priscillia, M., &amp; Budiono, H. (2020). Prediksi Website Design Quality dan Service Quality terhadap Repurchase Intention Pada Pelanggan Shopee di Jakarta Dengan Customer Trust Sebagai Mediasi. </w:t>
      </w:r>
      <w:r w:rsidRPr="00D019C2">
        <w:rPr>
          <w:i/>
          <w:iCs/>
          <w:noProof/>
          <w:sz w:val="24"/>
        </w:rPr>
        <w:t>Jurnal Manajerial Dan Kewirausahaan</w:t>
      </w:r>
      <w:r w:rsidRPr="00D019C2">
        <w:rPr>
          <w:noProof/>
          <w:sz w:val="24"/>
        </w:rPr>
        <w:t xml:space="preserve">, </w:t>
      </w:r>
      <w:r w:rsidRPr="00D019C2">
        <w:rPr>
          <w:i/>
          <w:iCs/>
          <w:noProof/>
          <w:sz w:val="24"/>
        </w:rPr>
        <w:t>II</w:t>
      </w:r>
      <w:r w:rsidRPr="00D019C2">
        <w:rPr>
          <w:noProof/>
          <w:sz w:val="24"/>
        </w:rPr>
        <w:t>(4), 1033–1043. http://journal.untar.ac.id/index.php/JMDK/article/view/9888</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Reading, R., &amp; Reynolds, S. (2001). Debt, social disadvantage and maternal depression. </w:t>
      </w:r>
      <w:r w:rsidRPr="00D019C2">
        <w:rPr>
          <w:i/>
          <w:iCs/>
          <w:noProof/>
          <w:sz w:val="24"/>
        </w:rPr>
        <w:t>Social Science and Medicine</w:t>
      </w:r>
      <w:r w:rsidRPr="00D019C2">
        <w:rPr>
          <w:noProof/>
          <w:sz w:val="24"/>
        </w:rPr>
        <w:t xml:space="preserve">, </w:t>
      </w:r>
      <w:r w:rsidRPr="00D019C2">
        <w:rPr>
          <w:i/>
          <w:iCs/>
          <w:noProof/>
          <w:sz w:val="24"/>
        </w:rPr>
        <w:t>53</w:t>
      </w:r>
      <w:r w:rsidRPr="00D019C2">
        <w:rPr>
          <w:noProof/>
          <w:sz w:val="24"/>
        </w:rPr>
        <w:t>(4), 441–453. https://doi.org/10.1016/S0277-9536(00)00347-6</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Renanita, T. (2013). Faktor-faktor Psikologis Perilaku Berhutang pada Karyawan Berpenghasilan Tetap. </w:t>
      </w:r>
      <w:r w:rsidRPr="00D019C2">
        <w:rPr>
          <w:i/>
          <w:iCs/>
          <w:noProof/>
          <w:sz w:val="24"/>
        </w:rPr>
        <w:t>Jurnal Psikologi UGM</w:t>
      </w:r>
      <w:r w:rsidRPr="00D019C2">
        <w:rPr>
          <w:noProof/>
          <w:sz w:val="24"/>
        </w:rPr>
        <w:t xml:space="preserve">, </w:t>
      </w:r>
      <w:r w:rsidRPr="00D019C2">
        <w:rPr>
          <w:i/>
          <w:iCs/>
          <w:noProof/>
          <w:sz w:val="24"/>
        </w:rPr>
        <w:t>40</w:t>
      </w:r>
      <w:r w:rsidRPr="00D019C2">
        <w:rPr>
          <w:noProof/>
          <w:sz w:val="24"/>
        </w:rPr>
        <w:t>(1), 92–101. https://doi.org/10.22146/jpsi.7069</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Rita, P., Oliveira, T., &amp; Farisa, A. (2019). The impact of e-service quality and customer satisfaction on customer behavior in online shopping. </w:t>
      </w:r>
      <w:r w:rsidRPr="00D019C2">
        <w:rPr>
          <w:i/>
          <w:iCs/>
          <w:noProof/>
          <w:sz w:val="24"/>
        </w:rPr>
        <w:t>Heliyon</w:t>
      </w:r>
      <w:r w:rsidRPr="00D019C2">
        <w:rPr>
          <w:noProof/>
          <w:sz w:val="24"/>
        </w:rPr>
        <w:t xml:space="preserve">, </w:t>
      </w:r>
      <w:r w:rsidRPr="00D019C2">
        <w:rPr>
          <w:i/>
          <w:iCs/>
          <w:noProof/>
          <w:sz w:val="24"/>
        </w:rPr>
        <w:t>5</w:t>
      </w:r>
      <w:r w:rsidRPr="00D019C2">
        <w:rPr>
          <w:noProof/>
          <w:sz w:val="24"/>
        </w:rPr>
        <w:t>(10), e02690. https://doi.org/10.1016/j.heliyon.2019.e02690</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Rohaeni &amp; Marwa, N. (2018). Kualitas Pelayanan terhadap Kepuasan Pelanggan. </w:t>
      </w:r>
      <w:r w:rsidRPr="00D019C2">
        <w:rPr>
          <w:i/>
          <w:iCs/>
          <w:noProof/>
          <w:sz w:val="24"/>
        </w:rPr>
        <w:t xml:space="preserve">Jurnal </w:t>
      </w:r>
      <w:r w:rsidRPr="00D019C2">
        <w:rPr>
          <w:i/>
          <w:iCs/>
          <w:noProof/>
          <w:sz w:val="24"/>
        </w:rPr>
        <w:lastRenderedPageBreak/>
        <w:t>Ecodemica</w:t>
      </w:r>
      <w:r w:rsidRPr="00D019C2">
        <w:rPr>
          <w:noProof/>
          <w:sz w:val="24"/>
        </w:rPr>
        <w:t xml:space="preserve">, </w:t>
      </w:r>
      <w:r w:rsidRPr="00D019C2">
        <w:rPr>
          <w:i/>
          <w:iCs/>
          <w:noProof/>
          <w:sz w:val="24"/>
        </w:rPr>
        <w:t>2</w:t>
      </w:r>
      <w:r w:rsidRPr="00D019C2">
        <w:rPr>
          <w:noProof/>
          <w:sz w:val="24"/>
        </w:rPr>
        <w:t>(2), 312–318. http://ejournal.borobudur.ac.id/index.php/1/article/view/448/444</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Shohib, M. (2017). Sikap terhadap uang dan perilaku berhutang. </w:t>
      </w:r>
      <w:r w:rsidRPr="00D019C2">
        <w:rPr>
          <w:i/>
          <w:iCs/>
          <w:noProof/>
          <w:sz w:val="24"/>
        </w:rPr>
        <w:t>Jurnal Ilmiah Psikologi Terapan</w:t>
      </w:r>
      <w:r w:rsidRPr="00D019C2">
        <w:rPr>
          <w:noProof/>
          <w:sz w:val="24"/>
        </w:rPr>
        <w:t xml:space="preserve">, </w:t>
      </w:r>
      <w:r w:rsidRPr="00D019C2">
        <w:rPr>
          <w:i/>
          <w:iCs/>
          <w:noProof/>
          <w:sz w:val="24"/>
        </w:rPr>
        <w:t>3</w:t>
      </w:r>
      <w:r w:rsidRPr="00D019C2">
        <w:rPr>
          <w:noProof/>
          <w:sz w:val="24"/>
        </w:rPr>
        <w:t>(1), 132–143. http://ejournal.umm.ac.id/index.php/jipt/article/view/2133/2281</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Stevano, Andajani, E., &amp; Rahayu, S. (2018). Influence Service Quality To Customer Satisfaction and Customer Loyalty Using Self Service Technology: Internet Banking. </w:t>
      </w:r>
      <w:r w:rsidRPr="00D019C2">
        <w:rPr>
          <w:i/>
          <w:iCs/>
          <w:noProof/>
          <w:sz w:val="24"/>
        </w:rPr>
        <w:t>5th International Conference on Business, Economic and Social Sciences (ICBESS) 2018</w:t>
      </w:r>
      <w:r w:rsidRPr="00D019C2">
        <w:rPr>
          <w:noProof/>
          <w:sz w:val="24"/>
        </w:rPr>
        <w:t>, 22.</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Sugiyono. (2019). </w:t>
      </w:r>
      <w:r w:rsidRPr="00D019C2">
        <w:rPr>
          <w:i/>
          <w:iCs/>
          <w:noProof/>
          <w:sz w:val="24"/>
        </w:rPr>
        <w:t>Metode Penelitian Kuantitatif, Kualitatif dan R&amp;D</w:t>
      </w:r>
      <w:r w:rsidRPr="00D019C2">
        <w:rPr>
          <w:noProof/>
          <w:sz w:val="24"/>
        </w:rPr>
        <w:t>. Alfabeta.</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Tatang, M., &amp; Mudiantono. (2017). The impact of website design quality, service quality, and enjoyment on repurchase intention through satisfaction and trust at Zalora. </w:t>
      </w:r>
      <w:r w:rsidRPr="00D019C2">
        <w:rPr>
          <w:i/>
          <w:iCs/>
          <w:noProof/>
          <w:sz w:val="24"/>
        </w:rPr>
        <w:t>Diponegoro Journal Of Management</w:t>
      </w:r>
      <w:r w:rsidRPr="00D019C2">
        <w:rPr>
          <w:noProof/>
          <w:sz w:val="24"/>
        </w:rPr>
        <w:t xml:space="preserve">, </w:t>
      </w:r>
      <w:r w:rsidRPr="00D019C2">
        <w:rPr>
          <w:i/>
          <w:iCs/>
          <w:noProof/>
          <w:sz w:val="24"/>
        </w:rPr>
        <w:t>6</w:t>
      </w:r>
      <w:r w:rsidRPr="00D019C2">
        <w:rPr>
          <w:noProof/>
          <w:sz w:val="24"/>
        </w:rPr>
        <w:t>(5), 1–11.</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Tjiptono, F. (2019). </w:t>
      </w:r>
      <w:r w:rsidRPr="00D019C2">
        <w:rPr>
          <w:i/>
          <w:iCs/>
          <w:noProof/>
          <w:sz w:val="24"/>
        </w:rPr>
        <w:t>Strategi Pemasaran</w:t>
      </w:r>
      <w:r w:rsidRPr="00D019C2">
        <w:rPr>
          <w:noProof/>
          <w:sz w:val="24"/>
        </w:rPr>
        <w:t xml:space="preserve"> (A. Diana (Ed.); 1st ed.). ANDI.</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Toor, A., Hunain, M., Hussain, T., Ali, S., &amp; Shahid, A. (2016). The Impact of E-Banking on Customer Satisfaction: Evidence from Banking Sector of Pakistan. </w:t>
      </w:r>
      <w:r w:rsidRPr="00D019C2">
        <w:rPr>
          <w:i/>
          <w:iCs/>
          <w:noProof/>
          <w:sz w:val="24"/>
        </w:rPr>
        <w:t>Journal of Business Administration Research</w:t>
      </w:r>
      <w:r w:rsidRPr="00D019C2">
        <w:rPr>
          <w:noProof/>
          <w:sz w:val="24"/>
        </w:rPr>
        <w:t xml:space="preserve">, </w:t>
      </w:r>
      <w:r w:rsidRPr="00D019C2">
        <w:rPr>
          <w:i/>
          <w:iCs/>
          <w:noProof/>
          <w:sz w:val="24"/>
        </w:rPr>
        <w:t>5</w:t>
      </w:r>
      <w:r w:rsidRPr="00D019C2">
        <w:rPr>
          <w:noProof/>
          <w:sz w:val="24"/>
        </w:rPr>
        <w:t>(2), 27–40. https://doi.org/10.5430/jbar.v5n2p27</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Widiaty, I., Ana, Riza, L. S., Abdullah, A. G., &amp; Mubaroq, S. R. (2020). Multiplatform application technology – based heutagogy on learning batik: A curriculum development framework. </w:t>
      </w:r>
      <w:r w:rsidRPr="00D019C2">
        <w:rPr>
          <w:i/>
          <w:iCs/>
          <w:noProof/>
          <w:sz w:val="24"/>
        </w:rPr>
        <w:t>Indonesian Journal of Science and Technology</w:t>
      </w:r>
      <w:r w:rsidRPr="00D019C2">
        <w:rPr>
          <w:noProof/>
          <w:sz w:val="24"/>
        </w:rPr>
        <w:t xml:space="preserve">, </w:t>
      </w:r>
      <w:r w:rsidRPr="00D019C2">
        <w:rPr>
          <w:i/>
          <w:iCs/>
          <w:noProof/>
          <w:sz w:val="24"/>
        </w:rPr>
        <w:t>5</w:t>
      </w:r>
      <w:r w:rsidRPr="00D019C2">
        <w:rPr>
          <w:noProof/>
          <w:sz w:val="24"/>
        </w:rPr>
        <w:t>(1), 45–61. https://doi.org/10.17509/ijost.v5i1.18754</w:t>
      </w:r>
    </w:p>
    <w:p w:rsidR="00095EF9" w:rsidRPr="00D019C2" w:rsidRDefault="00095EF9" w:rsidP="00D019C2">
      <w:pPr>
        <w:autoSpaceDE w:val="0"/>
        <w:autoSpaceDN w:val="0"/>
        <w:adjustRightInd w:val="0"/>
        <w:spacing w:beforeLines="50" w:before="120" w:afterLines="50" w:after="120"/>
        <w:ind w:left="480" w:hanging="480"/>
        <w:rPr>
          <w:noProof/>
          <w:sz w:val="24"/>
        </w:rPr>
      </w:pPr>
      <w:r w:rsidRPr="00D019C2">
        <w:rPr>
          <w:noProof/>
          <w:sz w:val="24"/>
        </w:rPr>
        <w:t xml:space="preserve">Yani, E., Lestari, A. F., Amalia, H., &amp; Puspita, A. (2018). Pengaruh Internet Banking Terhadap Minat Nasabah Dalam Bertransaksi Dengan Technology Acceptance Model. </w:t>
      </w:r>
      <w:r w:rsidRPr="00D019C2">
        <w:rPr>
          <w:i/>
          <w:iCs/>
          <w:noProof/>
          <w:sz w:val="24"/>
        </w:rPr>
        <w:t>Jurnal Informatika</w:t>
      </w:r>
      <w:r w:rsidRPr="00D019C2">
        <w:rPr>
          <w:noProof/>
          <w:sz w:val="24"/>
        </w:rPr>
        <w:t xml:space="preserve">, </w:t>
      </w:r>
      <w:r w:rsidRPr="00D019C2">
        <w:rPr>
          <w:i/>
          <w:iCs/>
          <w:noProof/>
          <w:sz w:val="24"/>
        </w:rPr>
        <w:t>5</w:t>
      </w:r>
      <w:r w:rsidRPr="00D019C2">
        <w:rPr>
          <w:noProof/>
          <w:sz w:val="24"/>
        </w:rPr>
        <w:t>(1), 34–42. https://doi.org/10.31311/ji.v5i1.2717.</w:t>
      </w:r>
    </w:p>
    <w:p w:rsidR="00095EF9" w:rsidRPr="00D019C2" w:rsidRDefault="00095EF9" w:rsidP="00D019C2">
      <w:pPr>
        <w:spacing w:beforeLines="50" w:before="120" w:afterLines="50" w:after="120"/>
        <w:ind w:right="119" w:firstLine="426"/>
        <w:rPr>
          <w:rFonts w:eastAsia="Times New Roman"/>
          <w:sz w:val="24"/>
        </w:rPr>
      </w:pPr>
      <w:r w:rsidRPr="00D019C2">
        <w:rPr>
          <w:rFonts w:eastAsia="Times New Roman"/>
          <w:sz w:val="24"/>
        </w:rPr>
        <w:fldChar w:fldCharType="end"/>
      </w:r>
    </w:p>
    <w:p w:rsidR="00095EF9" w:rsidRPr="00D019C2" w:rsidRDefault="00095EF9" w:rsidP="00D019C2">
      <w:pPr>
        <w:spacing w:beforeLines="50" w:before="120" w:afterLines="50" w:after="120"/>
        <w:ind w:left="432" w:right="432"/>
        <w:jc w:val="center"/>
        <w:rPr>
          <w:sz w:val="24"/>
        </w:rPr>
      </w:pPr>
    </w:p>
    <w:p w:rsidR="00095EF9" w:rsidRPr="00D019C2" w:rsidRDefault="00095EF9" w:rsidP="00D019C2">
      <w:pPr>
        <w:spacing w:beforeLines="50" w:before="120" w:afterLines="50" w:after="120"/>
        <w:jc w:val="center"/>
        <w:rPr>
          <w:rFonts w:eastAsia="Times New Roman"/>
          <w:sz w:val="24"/>
          <w:lang w:val="en-ID"/>
        </w:rPr>
      </w:pPr>
    </w:p>
    <w:p w:rsidR="006545AC" w:rsidRPr="00D019C2" w:rsidRDefault="006545AC" w:rsidP="00D019C2">
      <w:pPr>
        <w:spacing w:beforeLines="50" w:before="120" w:afterLines="50" w:after="120"/>
        <w:rPr>
          <w:sz w:val="24"/>
        </w:rPr>
      </w:pPr>
    </w:p>
    <w:sectPr w:rsidR="006545AC" w:rsidRPr="00D019C2" w:rsidSect="00140FBD">
      <w:headerReference w:type="default" r:id="rId15"/>
      <w:footerReference w:type="default" r:id="rId16"/>
      <w:pgSz w:w="11906" w:h="16838"/>
      <w:pgMar w:top="1701" w:right="1418" w:bottom="1701" w:left="1418" w:header="709" w:footer="709" w:gutter="0"/>
      <w:pgNumType w:start="21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73F" w:rsidRDefault="0043573F">
      <w:r>
        <w:separator/>
      </w:r>
    </w:p>
  </w:endnote>
  <w:endnote w:type="continuationSeparator" w:id="0">
    <w:p w:rsidR="0043573F" w:rsidRDefault="0043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FBD" w:rsidRDefault="00140F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3944402"/>
      <w:docPartObj>
        <w:docPartGallery w:val="Page Numbers (Bottom of Page)"/>
        <w:docPartUnique/>
      </w:docPartObj>
    </w:sdtPr>
    <w:sdtEndPr>
      <w:rPr>
        <w:noProof/>
      </w:rPr>
    </w:sdtEndPr>
    <w:sdtContent>
      <w:p w:rsidR="00620A6E" w:rsidRDefault="00620A6E">
        <w:pPr>
          <w:pStyle w:val="Footer"/>
          <w:jc w:val="right"/>
        </w:pPr>
        <w:r>
          <w:fldChar w:fldCharType="begin"/>
        </w:r>
        <w:r>
          <w:instrText xml:space="preserve"> PAGE   \* MERGEFORMAT </w:instrText>
        </w:r>
        <w:r>
          <w:fldChar w:fldCharType="separate"/>
        </w:r>
        <w:r w:rsidR="00140FBD">
          <w:rPr>
            <w:noProof/>
          </w:rPr>
          <w:t>215</w:t>
        </w:r>
        <w:r>
          <w:rPr>
            <w:noProof/>
          </w:rPr>
          <w:fldChar w:fldCharType="end"/>
        </w:r>
      </w:p>
    </w:sdtContent>
  </w:sdt>
  <w:p w:rsidR="00620A6E" w:rsidRDefault="00620A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FBD" w:rsidRDefault="00140FB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5969997"/>
      <w:docPartObj>
        <w:docPartGallery w:val="AutoText"/>
      </w:docPartObj>
    </w:sdtPr>
    <w:sdtEndPr>
      <w:rPr>
        <w:sz w:val="18"/>
        <w:szCs w:val="18"/>
      </w:rPr>
    </w:sdtEndPr>
    <w:sdtContent>
      <w:bookmarkStart w:id="0" w:name="_GoBack" w:displacedByCustomXml="prev"/>
      <w:bookmarkEnd w:id="0" w:displacedByCustomXml="prev"/>
      <w:p w:rsidR="00095EF9" w:rsidRDefault="00095EF9">
        <w:pPr>
          <w:pStyle w:val="Footer"/>
          <w:jc w:val="right"/>
          <w:rPr>
            <w:sz w:val="18"/>
            <w:szCs w:val="18"/>
          </w:rPr>
        </w:pPr>
        <w:r>
          <w:rPr>
            <w:noProof/>
            <w:sz w:val="20"/>
            <w:szCs w:val="20"/>
            <w:lang w:eastAsia="en-US"/>
          </w:rPr>
          <w:drawing>
            <wp:anchor distT="0" distB="0" distL="114300" distR="114300" simplePos="0" relativeHeight="251659264" behindDoc="1" locked="0" layoutInCell="1" allowOverlap="1">
              <wp:simplePos x="0" y="0"/>
              <wp:positionH relativeFrom="margin">
                <wp:posOffset>814070</wp:posOffset>
              </wp:positionH>
              <wp:positionV relativeFrom="paragraph">
                <wp:posOffset>-1270</wp:posOffset>
              </wp:positionV>
              <wp:extent cx="928370" cy="520065"/>
              <wp:effectExtent l="0" t="0" r="5080" b="0"/>
              <wp:wrapNone/>
              <wp:docPr id="8" name="Picture 8" descr="C:\Users\10\Documents\JIS\WhatsApp Image 2020-01-28 at 10.4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10\Documents\JIS\WhatsApp Image 2020-01-28 at 10.44.24.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952346" cy="533045"/>
                      </a:xfrm>
                      <a:prstGeom prst="rect">
                        <a:avLst/>
                      </a:prstGeom>
                      <a:noFill/>
                      <a:ln>
                        <a:noFill/>
                      </a:ln>
                    </pic:spPr>
                  </pic:pic>
                </a:graphicData>
              </a:graphic>
            </wp:anchor>
          </w:drawing>
        </w:r>
        <w:r>
          <w:rPr>
            <w:sz w:val="18"/>
            <w:szCs w:val="18"/>
          </w:rPr>
          <w:fldChar w:fldCharType="begin"/>
        </w:r>
        <w:r>
          <w:rPr>
            <w:sz w:val="18"/>
            <w:szCs w:val="18"/>
          </w:rPr>
          <w:instrText xml:space="preserve"> PAGE   \* MERGEFORMAT </w:instrText>
        </w:r>
        <w:r>
          <w:rPr>
            <w:sz w:val="18"/>
            <w:szCs w:val="18"/>
          </w:rPr>
          <w:fldChar w:fldCharType="separate"/>
        </w:r>
        <w:r w:rsidR="00140FBD">
          <w:rPr>
            <w:noProof/>
            <w:sz w:val="18"/>
            <w:szCs w:val="18"/>
          </w:rPr>
          <w:t>216</w:t>
        </w:r>
        <w:r>
          <w:rPr>
            <w:sz w:val="18"/>
            <w:szCs w:val="18"/>
          </w:rPr>
          <w:fldChar w:fldCharType="end"/>
        </w:r>
      </w:p>
    </w:sdtContent>
  </w:sdt>
  <w:p w:rsidR="00095EF9" w:rsidRDefault="00095EF9">
    <w:pPr>
      <w:pStyle w:val="Footer"/>
      <w:rPr>
        <w:sz w:val="18"/>
        <w:szCs w:val="18"/>
      </w:rPr>
    </w:pPr>
    <w:r>
      <w:rPr>
        <w:sz w:val="18"/>
        <w:szCs w:val="18"/>
      </w:rPr>
      <w:t>Published by: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73F" w:rsidRDefault="0043573F">
      <w:r>
        <w:separator/>
      </w:r>
    </w:p>
  </w:footnote>
  <w:footnote w:type="continuationSeparator" w:id="0">
    <w:p w:rsidR="0043573F" w:rsidRDefault="00435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77870658"/>
      <w:docPartObj>
        <w:docPartGallery w:val="Page Numbers (Top of Page)"/>
        <w:docPartUnique/>
      </w:docPartObj>
    </w:sdtPr>
    <w:sdtEndPr>
      <w:rPr>
        <w:rStyle w:val="PageNumber"/>
      </w:rPr>
    </w:sdtEndPr>
    <w:sdtContent>
      <w:p w:rsidR="00095EF9" w:rsidRDefault="00095EF9" w:rsidP="00095EF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95EF9" w:rsidRDefault="00095EF9" w:rsidP="00095EF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EF9" w:rsidRDefault="00095EF9" w:rsidP="00095EF9">
    <w:pPr>
      <w:pStyle w:val="Header"/>
      <w:framePr w:wrap="none" w:vAnchor="text" w:hAnchor="margin" w:xAlign="right" w:y="1"/>
      <w:rPr>
        <w:rStyle w:val="PageNumber"/>
      </w:rPr>
    </w:pPr>
  </w:p>
  <w:p w:rsidR="00095EF9" w:rsidRDefault="00095EF9" w:rsidP="00095EF9">
    <w:pPr>
      <w:pStyle w:val="Header"/>
      <w:tabs>
        <w:tab w:val="clear" w:pos="4513"/>
        <w:tab w:val="clear" w:pos="9026"/>
      </w:tabs>
      <w:jc w:val="right"/>
      <w:rPr>
        <w:b/>
        <w:i/>
        <w:sz w:val="20"/>
        <w:szCs w:val="20"/>
      </w:rPr>
    </w:pPr>
    <w:r>
      <w:rPr>
        <w:b/>
        <w:i/>
        <w:noProof/>
        <w:sz w:val="20"/>
        <w:szCs w:val="20"/>
        <w:lang w:eastAsia="en-US"/>
      </w:rPr>
      <w:drawing>
        <wp:anchor distT="0" distB="0" distL="114300" distR="114300" simplePos="0" relativeHeight="251662336" behindDoc="1" locked="0" layoutInCell="1" allowOverlap="1" wp14:anchorId="3609ACF1" wp14:editId="2C3C7351">
          <wp:simplePos x="0" y="0"/>
          <wp:positionH relativeFrom="column">
            <wp:posOffset>13335</wp:posOffset>
          </wp:positionH>
          <wp:positionV relativeFrom="paragraph">
            <wp:posOffset>1905</wp:posOffset>
          </wp:positionV>
          <wp:extent cx="615950" cy="6159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5636" cy="615636"/>
                  </a:xfrm>
                  <a:prstGeom prst="rect">
                    <a:avLst/>
                  </a:prstGeom>
                </pic:spPr>
              </pic:pic>
            </a:graphicData>
          </a:graphic>
        </wp:anchor>
      </w:drawing>
    </w:r>
    <w:r>
      <w:rPr>
        <w:b/>
        <w:i/>
        <w:sz w:val="20"/>
        <w:szCs w:val="20"/>
      </w:rPr>
      <w:t>International Journal of Marketing &amp; Human Resource Research</w:t>
    </w:r>
  </w:p>
  <w:p w:rsidR="00095EF9" w:rsidRPr="00F80C32" w:rsidRDefault="00095EF9" w:rsidP="00095EF9">
    <w:pPr>
      <w:pStyle w:val="Header"/>
      <w:tabs>
        <w:tab w:val="clear" w:pos="9026"/>
        <w:tab w:val="left" w:pos="666"/>
        <w:tab w:val="right" w:pos="8504"/>
      </w:tabs>
      <w:jc w:val="right"/>
      <w:rPr>
        <w:i/>
        <w:sz w:val="20"/>
        <w:szCs w:val="20"/>
      </w:rPr>
    </w:pPr>
    <w:proofErr w:type="gramStart"/>
    <w:r w:rsidRPr="00F80C32">
      <w:rPr>
        <w:i/>
        <w:sz w:val="20"/>
        <w:szCs w:val="20"/>
      </w:rPr>
      <w:t>e-ISSN</w:t>
    </w:r>
    <w:proofErr w:type="gramEnd"/>
    <w:r w:rsidRPr="00F80C32">
      <w:rPr>
        <w:i/>
        <w:sz w:val="20"/>
        <w:szCs w:val="20"/>
      </w:rPr>
      <w:t xml:space="preserve">: </w:t>
    </w:r>
    <w:r>
      <w:rPr>
        <w:i/>
        <w:sz w:val="20"/>
        <w:szCs w:val="20"/>
      </w:rPr>
      <w:t>2746-4040</w:t>
    </w:r>
  </w:p>
  <w:p w:rsidR="00095EF9" w:rsidRPr="00F80C32" w:rsidRDefault="00095EF9" w:rsidP="00095EF9">
    <w:pPr>
      <w:pStyle w:val="Header"/>
      <w:pBdr>
        <w:bottom w:val="single" w:sz="12" w:space="1" w:color="auto"/>
      </w:pBdr>
      <w:tabs>
        <w:tab w:val="clear" w:pos="9026"/>
      </w:tabs>
      <w:jc w:val="right"/>
      <w:rPr>
        <w:i/>
        <w:sz w:val="20"/>
        <w:szCs w:val="20"/>
      </w:rPr>
    </w:pPr>
    <w:r w:rsidRPr="00F80C32">
      <w:rPr>
        <w:i/>
        <w:sz w:val="20"/>
        <w:szCs w:val="20"/>
      </w:rPr>
      <w:t xml:space="preserve">Vol. </w:t>
    </w:r>
    <w:r>
      <w:rPr>
        <w:i/>
        <w:sz w:val="20"/>
        <w:szCs w:val="20"/>
      </w:rPr>
      <w:t>3</w:t>
    </w:r>
    <w:r w:rsidRPr="00F80C32">
      <w:rPr>
        <w:i/>
        <w:sz w:val="20"/>
        <w:szCs w:val="20"/>
      </w:rPr>
      <w:t xml:space="preserve">, No. </w:t>
    </w:r>
    <w:r>
      <w:rPr>
        <w:i/>
        <w:sz w:val="20"/>
        <w:szCs w:val="20"/>
      </w:rPr>
      <w:t>4</w:t>
    </w:r>
    <w:r w:rsidRPr="00F80C32">
      <w:rPr>
        <w:i/>
        <w:sz w:val="20"/>
        <w:szCs w:val="20"/>
      </w:rPr>
      <w:t xml:space="preserve"> </w:t>
    </w:r>
    <w:r>
      <w:rPr>
        <w:i/>
        <w:sz w:val="20"/>
        <w:szCs w:val="20"/>
      </w:rPr>
      <w:t xml:space="preserve">October </w:t>
    </w:r>
    <w:r w:rsidRPr="00F80C32">
      <w:rPr>
        <w:i/>
        <w:sz w:val="20"/>
        <w:szCs w:val="20"/>
      </w:rPr>
      <w:t>20</w:t>
    </w:r>
    <w:r>
      <w:rPr>
        <w:i/>
        <w:sz w:val="20"/>
        <w:szCs w:val="20"/>
      </w:rPr>
      <w:t>22</w:t>
    </w:r>
  </w:p>
  <w:p w:rsidR="00095EF9" w:rsidRDefault="00095EF9" w:rsidP="00095EF9">
    <w:pPr>
      <w:pStyle w:val="Header"/>
      <w:pBdr>
        <w:bottom w:val="single" w:sz="12" w:space="1" w:color="auto"/>
      </w:pBdr>
      <w:tabs>
        <w:tab w:val="clear" w:pos="9026"/>
      </w:tabs>
      <w:jc w:val="right"/>
      <w:rPr>
        <w:i/>
        <w:sz w:val="20"/>
        <w:szCs w:val="20"/>
      </w:rPr>
    </w:pPr>
  </w:p>
  <w:p w:rsidR="00095EF9" w:rsidRDefault="00095EF9" w:rsidP="00095EF9">
    <w:pPr>
      <w:pStyle w:val="Header"/>
      <w:pBdr>
        <w:bottom w:val="single" w:sz="12" w:space="1" w:color="auto"/>
      </w:pBdr>
      <w:tabs>
        <w:tab w:val="clear" w:pos="9026"/>
      </w:tabs>
      <w:jc w:val="right"/>
      <w:rPr>
        <w:sz w:val="24"/>
      </w:rPr>
    </w:pPr>
  </w:p>
  <w:p w:rsidR="00095EF9" w:rsidRDefault="00095EF9" w:rsidP="00095EF9">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FBD" w:rsidRDefault="00140F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EF9" w:rsidRDefault="00095EF9">
    <w:pPr>
      <w:pStyle w:val="Header"/>
      <w:tabs>
        <w:tab w:val="clear" w:pos="4513"/>
        <w:tab w:val="clear" w:pos="9026"/>
      </w:tabs>
      <w:jc w:val="right"/>
      <w:rPr>
        <w:b/>
        <w:i/>
        <w:sz w:val="20"/>
        <w:szCs w:val="20"/>
      </w:rPr>
    </w:pPr>
    <w:r>
      <w:rPr>
        <w:b/>
        <w:i/>
        <w:noProof/>
        <w:sz w:val="20"/>
        <w:szCs w:val="20"/>
        <w:lang w:eastAsia="en-US"/>
      </w:rPr>
      <w:drawing>
        <wp:anchor distT="0" distB="0" distL="114300" distR="114300" simplePos="0" relativeHeight="251660288" behindDoc="1" locked="0" layoutInCell="1" allowOverlap="1">
          <wp:simplePos x="0" y="0"/>
          <wp:positionH relativeFrom="column">
            <wp:posOffset>13335</wp:posOffset>
          </wp:positionH>
          <wp:positionV relativeFrom="paragraph">
            <wp:posOffset>1905</wp:posOffset>
          </wp:positionV>
          <wp:extent cx="615950" cy="6159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5636" cy="615636"/>
                  </a:xfrm>
                  <a:prstGeom prst="rect">
                    <a:avLst/>
                  </a:prstGeom>
                </pic:spPr>
              </pic:pic>
            </a:graphicData>
          </a:graphic>
        </wp:anchor>
      </w:drawing>
    </w:r>
    <w:r>
      <w:rPr>
        <w:b/>
        <w:i/>
        <w:sz w:val="20"/>
        <w:szCs w:val="20"/>
      </w:rPr>
      <w:t>International Journal of Marketing &amp; Human Resource Research</w:t>
    </w:r>
  </w:p>
  <w:p w:rsidR="00095EF9" w:rsidRPr="00F80C32" w:rsidRDefault="00095EF9" w:rsidP="000727CA">
    <w:pPr>
      <w:pStyle w:val="Header"/>
      <w:tabs>
        <w:tab w:val="clear" w:pos="9026"/>
        <w:tab w:val="left" w:pos="666"/>
        <w:tab w:val="right" w:pos="8504"/>
      </w:tabs>
      <w:jc w:val="right"/>
      <w:rPr>
        <w:i/>
        <w:sz w:val="20"/>
        <w:szCs w:val="20"/>
      </w:rPr>
    </w:pPr>
    <w:proofErr w:type="gramStart"/>
    <w:r w:rsidRPr="00F80C32">
      <w:rPr>
        <w:i/>
        <w:sz w:val="20"/>
        <w:szCs w:val="20"/>
      </w:rPr>
      <w:t>e-ISSN</w:t>
    </w:r>
    <w:proofErr w:type="gramEnd"/>
    <w:r w:rsidRPr="00F80C32">
      <w:rPr>
        <w:i/>
        <w:sz w:val="20"/>
        <w:szCs w:val="20"/>
      </w:rPr>
      <w:t xml:space="preserve">: </w:t>
    </w:r>
    <w:r>
      <w:rPr>
        <w:i/>
        <w:sz w:val="20"/>
        <w:szCs w:val="20"/>
      </w:rPr>
      <w:t>2746-4040</w:t>
    </w:r>
  </w:p>
  <w:p w:rsidR="00095EF9" w:rsidRPr="00F80C32" w:rsidRDefault="00095EF9" w:rsidP="000727CA">
    <w:pPr>
      <w:pStyle w:val="Header"/>
      <w:pBdr>
        <w:bottom w:val="single" w:sz="12" w:space="1" w:color="auto"/>
      </w:pBdr>
      <w:tabs>
        <w:tab w:val="clear" w:pos="9026"/>
      </w:tabs>
      <w:jc w:val="right"/>
      <w:rPr>
        <w:i/>
        <w:sz w:val="20"/>
        <w:szCs w:val="20"/>
      </w:rPr>
    </w:pPr>
    <w:r w:rsidRPr="00F80C32">
      <w:rPr>
        <w:i/>
        <w:sz w:val="20"/>
        <w:szCs w:val="20"/>
      </w:rPr>
      <w:t xml:space="preserve">Vol. </w:t>
    </w:r>
    <w:r>
      <w:rPr>
        <w:i/>
        <w:sz w:val="20"/>
        <w:szCs w:val="20"/>
      </w:rPr>
      <w:t>3</w:t>
    </w:r>
    <w:r w:rsidRPr="00F80C32">
      <w:rPr>
        <w:i/>
        <w:sz w:val="20"/>
        <w:szCs w:val="20"/>
      </w:rPr>
      <w:t xml:space="preserve">, No. </w:t>
    </w:r>
    <w:r>
      <w:rPr>
        <w:i/>
        <w:sz w:val="20"/>
        <w:szCs w:val="20"/>
      </w:rPr>
      <w:t>4</w:t>
    </w:r>
    <w:r w:rsidRPr="00F80C32">
      <w:rPr>
        <w:i/>
        <w:sz w:val="20"/>
        <w:szCs w:val="20"/>
      </w:rPr>
      <w:t xml:space="preserve"> </w:t>
    </w:r>
    <w:r>
      <w:rPr>
        <w:i/>
        <w:sz w:val="20"/>
        <w:szCs w:val="20"/>
      </w:rPr>
      <w:t xml:space="preserve">October </w:t>
    </w:r>
    <w:r w:rsidRPr="00F80C32">
      <w:rPr>
        <w:i/>
        <w:sz w:val="20"/>
        <w:szCs w:val="20"/>
      </w:rPr>
      <w:t>20</w:t>
    </w:r>
    <w:r>
      <w:rPr>
        <w:i/>
        <w:sz w:val="20"/>
        <w:szCs w:val="20"/>
      </w:rPr>
      <w:t>22</w:t>
    </w:r>
  </w:p>
  <w:p w:rsidR="00095EF9" w:rsidRDefault="00095EF9">
    <w:pPr>
      <w:pStyle w:val="Header"/>
      <w:pBdr>
        <w:bottom w:val="single" w:sz="12" w:space="1" w:color="auto"/>
      </w:pBdr>
      <w:tabs>
        <w:tab w:val="clear" w:pos="9026"/>
      </w:tabs>
      <w:jc w:val="right"/>
      <w:rPr>
        <w:i/>
        <w:sz w:val="20"/>
        <w:szCs w:val="20"/>
      </w:rPr>
    </w:pPr>
  </w:p>
  <w:p w:rsidR="00095EF9" w:rsidRDefault="00095EF9">
    <w:pPr>
      <w:pStyle w:val="Header"/>
      <w:pBdr>
        <w:bottom w:val="single" w:sz="12" w:space="1" w:color="auto"/>
      </w:pBdr>
      <w:tabs>
        <w:tab w:val="clear" w:pos="9026"/>
      </w:tabs>
      <w:jc w:val="right"/>
      <w:rPr>
        <w:sz w:val="24"/>
      </w:rPr>
    </w:pPr>
  </w:p>
  <w:p w:rsidR="00095EF9" w:rsidRDefault="00095EF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F126F"/>
    <w:multiLevelType w:val="hybridMultilevel"/>
    <w:tmpl w:val="37286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46FFF"/>
    <w:multiLevelType w:val="hybridMultilevel"/>
    <w:tmpl w:val="99EC8DF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356819"/>
    <w:multiLevelType w:val="hybridMultilevel"/>
    <w:tmpl w:val="AFB2F2DE"/>
    <w:lvl w:ilvl="0" w:tplc="55AE7140">
      <w:start w:val="1"/>
      <w:numFmt w:val="none"/>
      <w:lvlText w:val="3.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08200C"/>
    <w:multiLevelType w:val="hybridMultilevel"/>
    <w:tmpl w:val="F202B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11662"/>
    <w:multiLevelType w:val="hybridMultilevel"/>
    <w:tmpl w:val="B7BC405A"/>
    <w:lvl w:ilvl="0" w:tplc="4E7683B4">
      <w:start w:val="1"/>
      <w:numFmt w:val="none"/>
      <w:lvlText w:val="3.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93192"/>
    <w:multiLevelType w:val="hybridMultilevel"/>
    <w:tmpl w:val="2618D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862855"/>
    <w:multiLevelType w:val="hybridMultilevel"/>
    <w:tmpl w:val="08588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145D9D"/>
    <w:multiLevelType w:val="multilevel"/>
    <w:tmpl w:val="7696E5E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23971D0F"/>
    <w:multiLevelType w:val="hybridMultilevel"/>
    <w:tmpl w:val="EC029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6F3D01"/>
    <w:multiLevelType w:val="hybridMultilevel"/>
    <w:tmpl w:val="43522EAC"/>
    <w:lvl w:ilvl="0" w:tplc="E146D7AE">
      <w:start w:val="1"/>
      <w:numFmt w:val="lowerLetter"/>
      <w:lvlText w:val="%1."/>
      <w:lvlJc w:val="right"/>
      <w:pPr>
        <w:ind w:left="720" w:hanging="360"/>
      </w:pPr>
      <w:rPr>
        <w:rFonts w:hint="default"/>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492E6E"/>
    <w:multiLevelType w:val="hybridMultilevel"/>
    <w:tmpl w:val="2A22A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F36CDC"/>
    <w:multiLevelType w:val="hybridMultilevel"/>
    <w:tmpl w:val="2B745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700E6C"/>
    <w:multiLevelType w:val="hybridMultilevel"/>
    <w:tmpl w:val="0AD289F6"/>
    <w:lvl w:ilvl="0" w:tplc="73A8559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6D6BB2"/>
    <w:multiLevelType w:val="hybridMultilevel"/>
    <w:tmpl w:val="E7F42F9A"/>
    <w:lvl w:ilvl="0" w:tplc="E146D7AE">
      <w:start w:val="1"/>
      <w:numFmt w:val="lowerLetter"/>
      <w:lvlText w:val="%1."/>
      <w:lvlJc w:val="right"/>
      <w:pPr>
        <w:ind w:left="720" w:hanging="360"/>
      </w:pPr>
      <w:rPr>
        <w:rFonts w:hint="default"/>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BB0DBB"/>
    <w:multiLevelType w:val="hybridMultilevel"/>
    <w:tmpl w:val="95847838"/>
    <w:lvl w:ilvl="0" w:tplc="E146D7AE">
      <w:start w:val="1"/>
      <w:numFmt w:val="lowerLetter"/>
      <w:lvlText w:val="%1."/>
      <w:lvlJc w:val="right"/>
      <w:pPr>
        <w:ind w:left="720" w:hanging="360"/>
      </w:pPr>
      <w:rPr>
        <w:rFonts w:hint="default"/>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4F6F85"/>
    <w:multiLevelType w:val="hybridMultilevel"/>
    <w:tmpl w:val="34087C74"/>
    <w:lvl w:ilvl="0" w:tplc="18606212">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9C5C78"/>
    <w:multiLevelType w:val="multilevel"/>
    <w:tmpl w:val="619C5C7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3667F23"/>
    <w:multiLevelType w:val="hybridMultilevel"/>
    <w:tmpl w:val="6AB62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493678"/>
    <w:multiLevelType w:val="hybridMultilevel"/>
    <w:tmpl w:val="71F0A41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247219"/>
    <w:multiLevelType w:val="hybridMultilevel"/>
    <w:tmpl w:val="0EC632A6"/>
    <w:lvl w:ilvl="0" w:tplc="FED86B32">
      <w:start w:val="1"/>
      <w:numFmt w:val="none"/>
      <w:lvlText w:val="3.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944EE2"/>
    <w:multiLevelType w:val="hybridMultilevel"/>
    <w:tmpl w:val="935238FE"/>
    <w:lvl w:ilvl="0" w:tplc="2E62D7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2C0080"/>
    <w:multiLevelType w:val="multilevel"/>
    <w:tmpl w:val="C4A0C80A"/>
    <w:lvl w:ilvl="0">
      <w:start w:val="1"/>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2">
    <w:nsid w:val="78313B76"/>
    <w:multiLevelType w:val="hybridMultilevel"/>
    <w:tmpl w:val="DB42F1B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BF71BF"/>
    <w:multiLevelType w:val="multilevel"/>
    <w:tmpl w:val="DFCC19A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7ED44C9F"/>
    <w:multiLevelType w:val="hybridMultilevel"/>
    <w:tmpl w:val="85D60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7"/>
  </w:num>
  <w:num w:numId="4">
    <w:abstractNumId w:val="21"/>
  </w:num>
  <w:num w:numId="5">
    <w:abstractNumId w:val="23"/>
  </w:num>
  <w:num w:numId="6">
    <w:abstractNumId w:val="1"/>
  </w:num>
  <w:num w:numId="7">
    <w:abstractNumId w:val="10"/>
  </w:num>
  <w:num w:numId="8">
    <w:abstractNumId w:val="13"/>
  </w:num>
  <w:num w:numId="9">
    <w:abstractNumId w:val="14"/>
  </w:num>
  <w:num w:numId="10">
    <w:abstractNumId w:val="9"/>
  </w:num>
  <w:num w:numId="11">
    <w:abstractNumId w:val="15"/>
  </w:num>
  <w:num w:numId="12">
    <w:abstractNumId w:val="2"/>
  </w:num>
  <w:num w:numId="13">
    <w:abstractNumId w:val="19"/>
  </w:num>
  <w:num w:numId="14">
    <w:abstractNumId w:val="4"/>
  </w:num>
  <w:num w:numId="15">
    <w:abstractNumId w:val="0"/>
  </w:num>
  <w:num w:numId="16">
    <w:abstractNumId w:val="11"/>
  </w:num>
  <w:num w:numId="17">
    <w:abstractNumId w:val="8"/>
  </w:num>
  <w:num w:numId="18">
    <w:abstractNumId w:val="17"/>
  </w:num>
  <w:num w:numId="19">
    <w:abstractNumId w:val="6"/>
  </w:num>
  <w:num w:numId="20">
    <w:abstractNumId w:val="3"/>
  </w:num>
  <w:num w:numId="21">
    <w:abstractNumId w:val="12"/>
  </w:num>
  <w:num w:numId="22">
    <w:abstractNumId w:val="5"/>
  </w:num>
  <w:num w:numId="23">
    <w:abstractNumId w:val="20"/>
  </w:num>
  <w:num w:numId="24">
    <w:abstractNumId w:val="2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E9E"/>
    <w:rsid w:val="000200F9"/>
    <w:rsid w:val="00064CCF"/>
    <w:rsid w:val="000727CA"/>
    <w:rsid w:val="00074B19"/>
    <w:rsid w:val="00095EF9"/>
    <w:rsid w:val="000A67CD"/>
    <w:rsid w:val="000C44E4"/>
    <w:rsid w:val="000D4576"/>
    <w:rsid w:val="0010255F"/>
    <w:rsid w:val="00107008"/>
    <w:rsid w:val="0011129D"/>
    <w:rsid w:val="00112D4B"/>
    <w:rsid w:val="00140FBD"/>
    <w:rsid w:val="00162350"/>
    <w:rsid w:val="00167801"/>
    <w:rsid w:val="00180118"/>
    <w:rsid w:val="001A0B41"/>
    <w:rsid w:val="001B0A9C"/>
    <w:rsid w:val="001B1EB2"/>
    <w:rsid w:val="001C7620"/>
    <w:rsid w:val="001D6B3B"/>
    <w:rsid w:val="001F4A35"/>
    <w:rsid w:val="001F68DD"/>
    <w:rsid w:val="00204FD0"/>
    <w:rsid w:val="00263F0A"/>
    <w:rsid w:val="00275552"/>
    <w:rsid w:val="00290971"/>
    <w:rsid w:val="00293558"/>
    <w:rsid w:val="0029687E"/>
    <w:rsid w:val="002A04CD"/>
    <w:rsid w:val="002A392E"/>
    <w:rsid w:val="002B6848"/>
    <w:rsid w:val="002D2EB2"/>
    <w:rsid w:val="002D4ADA"/>
    <w:rsid w:val="002D7F87"/>
    <w:rsid w:val="00333F0F"/>
    <w:rsid w:val="003437F1"/>
    <w:rsid w:val="00346637"/>
    <w:rsid w:val="00354690"/>
    <w:rsid w:val="0038305E"/>
    <w:rsid w:val="003855D3"/>
    <w:rsid w:val="003B2CF6"/>
    <w:rsid w:val="003B3FDF"/>
    <w:rsid w:val="003B4CCB"/>
    <w:rsid w:val="003C128D"/>
    <w:rsid w:val="003D618B"/>
    <w:rsid w:val="003E6427"/>
    <w:rsid w:val="00420495"/>
    <w:rsid w:val="004224D3"/>
    <w:rsid w:val="0042628E"/>
    <w:rsid w:val="004327D3"/>
    <w:rsid w:val="0043573F"/>
    <w:rsid w:val="00454582"/>
    <w:rsid w:val="004561A0"/>
    <w:rsid w:val="00462D43"/>
    <w:rsid w:val="00472AA0"/>
    <w:rsid w:val="004A7395"/>
    <w:rsid w:val="004C2FC0"/>
    <w:rsid w:val="005265B4"/>
    <w:rsid w:val="00542CF2"/>
    <w:rsid w:val="00576737"/>
    <w:rsid w:val="005933B4"/>
    <w:rsid w:val="005A18AB"/>
    <w:rsid w:val="005D3BE6"/>
    <w:rsid w:val="005E0684"/>
    <w:rsid w:val="005F423B"/>
    <w:rsid w:val="00600EE8"/>
    <w:rsid w:val="006156AB"/>
    <w:rsid w:val="00620A6E"/>
    <w:rsid w:val="00627CBA"/>
    <w:rsid w:val="006545AC"/>
    <w:rsid w:val="00655E1C"/>
    <w:rsid w:val="00673DDD"/>
    <w:rsid w:val="00680F64"/>
    <w:rsid w:val="006A3091"/>
    <w:rsid w:val="006D39BD"/>
    <w:rsid w:val="00715535"/>
    <w:rsid w:val="00727AB3"/>
    <w:rsid w:val="00763157"/>
    <w:rsid w:val="00772943"/>
    <w:rsid w:val="007755BF"/>
    <w:rsid w:val="0079341F"/>
    <w:rsid w:val="007A0E91"/>
    <w:rsid w:val="007C4B52"/>
    <w:rsid w:val="007E252C"/>
    <w:rsid w:val="007F50B1"/>
    <w:rsid w:val="00807BAB"/>
    <w:rsid w:val="008156D7"/>
    <w:rsid w:val="0084172C"/>
    <w:rsid w:val="00845AF8"/>
    <w:rsid w:val="0084777F"/>
    <w:rsid w:val="00847C30"/>
    <w:rsid w:val="00870769"/>
    <w:rsid w:val="00886582"/>
    <w:rsid w:val="00893674"/>
    <w:rsid w:val="008F381E"/>
    <w:rsid w:val="00933E34"/>
    <w:rsid w:val="009449BC"/>
    <w:rsid w:val="00967FE9"/>
    <w:rsid w:val="009713E8"/>
    <w:rsid w:val="0097315B"/>
    <w:rsid w:val="009C2D12"/>
    <w:rsid w:val="009C681E"/>
    <w:rsid w:val="00A407FB"/>
    <w:rsid w:val="00A47170"/>
    <w:rsid w:val="00A50080"/>
    <w:rsid w:val="00A50E16"/>
    <w:rsid w:val="00A6251E"/>
    <w:rsid w:val="00A864EE"/>
    <w:rsid w:val="00AD16E9"/>
    <w:rsid w:val="00AD2557"/>
    <w:rsid w:val="00AE07BD"/>
    <w:rsid w:val="00AF06FF"/>
    <w:rsid w:val="00B02C22"/>
    <w:rsid w:val="00B176D8"/>
    <w:rsid w:val="00B45FDE"/>
    <w:rsid w:val="00B61C95"/>
    <w:rsid w:val="00B94639"/>
    <w:rsid w:val="00BB2971"/>
    <w:rsid w:val="00BD622D"/>
    <w:rsid w:val="00C05E9E"/>
    <w:rsid w:val="00C34EDE"/>
    <w:rsid w:val="00C635C1"/>
    <w:rsid w:val="00C951A6"/>
    <w:rsid w:val="00CB0F4C"/>
    <w:rsid w:val="00CC0AE9"/>
    <w:rsid w:val="00CE5059"/>
    <w:rsid w:val="00CF6A4D"/>
    <w:rsid w:val="00D019C2"/>
    <w:rsid w:val="00D11380"/>
    <w:rsid w:val="00D13576"/>
    <w:rsid w:val="00D359A0"/>
    <w:rsid w:val="00D50698"/>
    <w:rsid w:val="00D95E52"/>
    <w:rsid w:val="00DA3C78"/>
    <w:rsid w:val="00DF3309"/>
    <w:rsid w:val="00E10203"/>
    <w:rsid w:val="00E35AC6"/>
    <w:rsid w:val="00E50CEF"/>
    <w:rsid w:val="00E84023"/>
    <w:rsid w:val="00E90BAF"/>
    <w:rsid w:val="00EB245A"/>
    <w:rsid w:val="00EC4F45"/>
    <w:rsid w:val="00ED335B"/>
    <w:rsid w:val="00EE3B09"/>
    <w:rsid w:val="00EF6DF5"/>
    <w:rsid w:val="00F03604"/>
    <w:rsid w:val="00F055ED"/>
    <w:rsid w:val="00F45318"/>
    <w:rsid w:val="00F67075"/>
    <w:rsid w:val="00F67B2F"/>
    <w:rsid w:val="00F80C32"/>
    <w:rsid w:val="00FB1561"/>
    <w:rsid w:val="00FE7FDA"/>
    <w:rsid w:val="32C872D5"/>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9676CA-A114-42E3-B5C1-BAD24074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link w:val="Heading1Char"/>
    <w:uiPriority w:val="9"/>
    <w:qFormat/>
    <w:rsid w:val="00095EF9"/>
    <w:pPr>
      <w:keepNext/>
      <w:keepLines/>
      <w:widowControl/>
      <w:spacing w:before="240" w:line="259" w:lineRule="auto"/>
      <w:jc w:val="left"/>
      <w:outlineLvl w:val="0"/>
    </w:pPr>
    <w:rPr>
      <w:rFonts w:asciiTheme="majorHAnsi" w:eastAsiaTheme="majorEastAsia" w:hAnsiTheme="majorHAnsi" w:cstheme="majorBidi"/>
      <w:color w:val="2E74B5" w:themeColor="accent1" w:themeShade="BF"/>
      <w:kern w:val="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EF9"/>
    <w:rPr>
      <w:rFonts w:asciiTheme="majorHAnsi" w:eastAsiaTheme="majorEastAsia" w:hAnsiTheme="majorHAnsi" w:cstheme="majorBidi"/>
      <w:color w:val="2E74B5" w:themeColor="accent1" w:themeShade="BF"/>
      <w:sz w:val="32"/>
      <w:szCs w:val="32"/>
    </w:rPr>
  </w:style>
  <w:style w:type="paragraph" w:styleId="BodyText2">
    <w:name w:val="Body Text 2"/>
    <w:basedOn w:val="Normal"/>
    <w:link w:val="BodyText2Char1"/>
    <w:pPr>
      <w:spacing w:before="200" w:after="200" w:line="400" w:lineRule="exact"/>
      <w:jc w:val="center"/>
    </w:pPr>
    <w:rPr>
      <w:sz w:val="32"/>
      <w:szCs w:val="32"/>
      <w:lang w:val="zh-CN"/>
    </w:rPr>
  </w:style>
  <w:style w:type="character" w:customStyle="1" w:styleId="BodyText2Char1">
    <w:name w:val="Body Text 2 Char1"/>
    <w:link w:val="BodyText2"/>
    <w:rPr>
      <w:rFonts w:ascii="Times New Roman" w:eastAsia="SimSun" w:hAnsi="Times New Roman" w:cs="Times New Roman"/>
      <w:kern w:val="2"/>
      <w:sz w:val="32"/>
      <w:szCs w:val="32"/>
      <w:lang w:val="zh-CN" w:eastAsia="zh-C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rPr>
      <w:rFonts w:ascii="Calibri" w:eastAsia="Calibri" w:hAnsi="Calibri"/>
      <w:sz w:val="20"/>
      <w:szCs w:val="20"/>
    </w:rPr>
  </w:style>
  <w:style w:type="character" w:customStyle="1" w:styleId="FootnoteTextChar">
    <w:name w:val="Footnote Text Char"/>
    <w:basedOn w:val="DefaultParagraphFont"/>
    <w:link w:val="FootnoteText"/>
    <w:uiPriority w:val="99"/>
    <w:semiHidden/>
    <w:rPr>
      <w:rFonts w:ascii="Calibri" w:eastAsia="Calibri" w:hAnsi="Calibri" w:cs="Times New Roman"/>
      <w:sz w:val="20"/>
      <w:szCs w:val="20"/>
      <w:lang w:val="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kripsi,Body Text Char1,Char Char2,List Paragraph2,List Paragraph1,Body of text"/>
    <w:basedOn w:val="Normal"/>
    <w:link w:val="ListParagraphChar"/>
    <w:uiPriority w:val="34"/>
    <w:qFormat/>
    <w:pPr>
      <w:ind w:left="720"/>
      <w:contextualSpacing/>
    </w:pPr>
  </w:style>
  <w:style w:type="character" w:customStyle="1" w:styleId="ListParagraphChar">
    <w:name w:val="List Paragraph Char"/>
    <w:aliases w:val="skripsi Char,Body Text Char1 Char,Char Char2 Char,List Paragraph2 Char,List Paragraph1 Char,Body of text Char"/>
    <w:link w:val="ListParagraph"/>
    <w:uiPriority w:val="34"/>
    <w:qFormat/>
    <w:locked/>
    <w:rPr>
      <w:rFonts w:ascii="Times New Roman" w:eastAsia="SimSun" w:hAnsi="Times New Roman" w:cs="Times New Roman"/>
      <w:kern w:val="2"/>
      <w:sz w:val="21"/>
      <w:szCs w:val="24"/>
      <w:lang w:val="en-US" w:eastAsia="zh-CN"/>
    </w:rPr>
  </w:style>
  <w:style w:type="character" w:customStyle="1" w:styleId="tlid-translation">
    <w:name w:val="tlid-translation"/>
    <w:basedOn w:val="DefaultParagraphFont"/>
  </w:style>
  <w:style w:type="character" w:customStyle="1" w:styleId="BodyText2Char">
    <w:name w:val="Body Text 2 Char"/>
    <w:basedOn w:val="DefaultParagraphFont"/>
    <w:uiPriority w:val="99"/>
    <w:semiHidden/>
    <w:rPr>
      <w:rFonts w:ascii="Times New Roman" w:eastAsia="SimSun" w:hAnsi="Times New Roman" w:cs="Times New Roman"/>
      <w:kern w:val="2"/>
      <w:sz w:val="21"/>
      <w:szCs w:val="24"/>
      <w:lang w:val="en-US" w:eastAsia="zh-CN"/>
    </w:rPr>
  </w:style>
  <w:style w:type="paragraph" w:customStyle="1" w:styleId="Bibliography1">
    <w:name w:val="Bibliography1"/>
    <w:basedOn w:val="Normal"/>
    <w:next w:val="Normal"/>
    <w:uiPriority w:val="37"/>
    <w:semiHidden/>
    <w:unhideWhenUsed/>
  </w:style>
  <w:style w:type="paragraph" w:customStyle="1" w:styleId="ChapterTitle">
    <w:name w:val="Chapter Title"/>
    <w:basedOn w:val="Normal"/>
    <w:next w:val="Normal"/>
    <w:pPr>
      <w:keepNext/>
      <w:widowControl/>
      <w:spacing w:before="400" w:after="200"/>
      <w:ind w:left="282" w:hangingChars="117" w:hanging="282"/>
      <w:jc w:val="left"/>
    </w:pPr>
    <w:rPr>
      <w:rFonts w:eastAsia="MS Mincho"/>
      <w:b/>
      <w:kern w:val="28"/>
      <w:sz w:val="24"/>
      <w:szCs w:val="20"/>
      <w:lang w:eastAsia="ja-JP"/>
    </w:rPr>
  </w:style>
  <w:style w:type="character" w:customStyle="1" w:styleId="fontstyle01">
    <w:name w:val="fontstyle01"/>
    <w:basedOn w:val="DefaultParagraphFont"/>
    <w:rPr>
      <w:rFonts w:ascii="TimesNewRomanPSMT" w:hAnsi="TimesNewRomanPSMT" w:hint="default"/>
      <w:color w:val="000000"/>
      <w:sz w:val="22"/>
      <w:szCs w:val="22"/>
    </w:rPr>
  </w:style>
  <w:style w:type="paragraph" w:styleId="BalloonText">
    <w:name w:val="Balloon Text"/>
    <w:basedOn w:val="Normal"/>
    <w:link w:val="BalloonTextChar"/>
    <w:uiPriority w:val="99"/>
    <w:semiHidden/>
    <w:unhideWhenUsed/>
    <w:rsid w:val="00967FE9"/>
    <w:rPr>
      <w:rFonts w:ascii="Tahoma" w:hAnsi="Tahoma" w:cs="Tahoma"/>
      <w:sz w:val="16"/>
      <w:szCs w:val="16"/>
    </w:rPr>
  </w:style>
  <w:style w:type="character" w:customStyle="1" w:styleId="BalloonTextChar">
    <w:name w:val="Balloon Text Char"/>
    <w:basedOn w:val="DefaultParagraphFont"/>
    <w:link w:val="BalloonText"/>
    <w:uiPriority w:val="99"/>
    <w:semiHidden/>
    <w:rsid w:val="00967FE9"/>
    <w:rPr>
      <w:rFonts w:ascii="Tahoma" w:hAnsi="Tahoma" w:cs="Tahoma"/>
      <w:kern w:val="2"/>
      <w:sz w:val="16"/>
      <w:szCs w:val="16"/>
      <w:lang w:eastAsia="zh-CN"/>
    </w:rPr>
  </w:style>
  <w:style w:type="paragraph" w:styleId="NormalWeb">
    <w:name w:val="Normal (Web)"/>
    <w:unhideWhenUsed/>
    <w:qFormat/>
    <w:rsid w:val="00847C30"/>
    <w:rPr>
      <w:rFonts w:ascii="Calibri" w:hAnsi="Calibri"/>
      <w:sz w:val="24"/>
      <w:szCs w:val="24"/>
      <w:lang w:eastAsia="zh-CN"/>
    </w:rPr>
  </w:style>
  <w:style w:type="paragraph" w:styleId="Bibliography">
    <w:name w:val="Bibliography"/>
    <w:basedOn w:val="Normal"/>
    <w:next w:val="Normal"/>
    <w:uiPriority w:val="37"/>
    <w:unhideWhenUsed/>
    <w:rsid w:val="00095EF9"/>
    <w:pPr>
      <w:widowControl/>
      <w:spacing w:after="160" w:line="259" w:lineRule="auto"/>
      <w:jc w:val="left"/>
    </w:pPr>
    <w:rPr>
      <w:rFonts w:asciiTheme="minorHAnsi" w:eastAsiaTheme="minorHAnsi" w:hAnsiTheme="minorHAnsi" w:cstheme="minorBidi"/>
      <w:kern w:val="0"/>
      <w:sz w:val="22"/>
      <w:szCs w:val="22"/>
      <w:lang w:eastAsia="en-US"/>
    </w:rPr>
  </w:style>
  <w:style w:type="paragraph" w:styleId="Caption">
    <w:name w:val="caption"/>
    <w:basedOn w:val="Normal"/>
    <w:next w:val="Normal"/>
    <w:uiPriority w:val="35"/>
    <w:unhideWhenUsed/>
    <w:qFormat/>
    <w:rsid w:val="00095EF9"/>
    <w:pPr>
      <w:widowControl/>
      <w:spacing w:after="200"/>
      <w:jc w:val="left"/>
    </w:pPr>
    <w:rPr>
      <w:rFonts w:ascii="Calibri" w:eastAsia="Times New Roman" w:hAnsi="Calibri" w:cs="Calibri"/>
      <w:i/>
      <w:iCs/>
      <w:color w:val="44546A" w:themeColor="text2"/>
      <w:kern w:val="0"/>
      <w:sz w:val="18"/>
      <w:szCs w:val="18"/>
      <w:lang w:val="id-ID" w:eastAsia="id-ID"/>
    </w:rPr>
  </w:style>
  <w:style w:type="table" w:styleId="LightShading">
    <w:name w:val="Light Shading"/>
    <w:basedOn w:val="TableNormal"/>
    <w:uiPriority w:val="60"/>
    <w:rsid w:val="00095EF9"/>
    <w:rPr>
      <w:rFonts w:asciiTheme="minorHAnsi" w:eastAsiaTheme="minorEastAsia" w:hAnsiTheme="minorHAnsi" w:cstheme="minorBidi"/>
      <w:color w:val="000000" w:themeColor="text1" w:themeShade="BF"/>
      <w:sz w:val="24"/>
      <w:szCs w:val="24"/>
      <w:lang w:val="en-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ageNumber">
    <w:name w:val="page number"/>
    <w:basedOn w:val="DefaultParagraphFont"/>
    <w:uiPriority w:val="99"/>
    <w:semiHidden/>
    <w:unhideWhenUsed/>
    <w:rsid w:val="00095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zizsetyawan@upnvj.ac.id"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21813</Words>
  <Characters>124339</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4</cp:revision>
  <dcterms:created xsi:type="dcterms:W3CDTF">2022-10-31T15:16:00Z</dcterms:created>
  <dcterms:modified xsi:type="dcterms:W3CDTF">2022-10-31T15:25:00Z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78B05C833ED7444CB4465E99E1C8C42C</vt:lpwstr>
  </property>
</Properties>
</file>